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2D" w:rsidRDefault="00522E6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长三角区域三省一市主要建筑材料价格及指数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0F2706">
        <w:rPr>
          <w:rFonts w:ascii="楷体_GB2312" w:eastAsia="楷体_GB2312" w:hAnsi="黑体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0F2706">
        <w:rPr>
          <w:rFonts w:ascii="楷体_GB2312" w:eastAsia="楷体_GB2312" w:hAnsi="黑体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季度主要建筑材料价格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276"/>
        <w:gridCol w:w="1417"/>
        <w:gridCol w:w="1418"/>
        <w:gridCol w:w="1275"/>
        <w:gridCol w:w="1560"/>
      </w:tblGrid>
      <w:tr w:rsidR="006D3A6A" w:rsidTr="006D3A6A">
        <w:trPr>
          <w:trHeight w:val="1526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:rsidR="006D3A6A" w:rsidTr="006D3A6A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0F2706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4995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584</w:t>
            </w:r>
          </w:p>
        </w:tc>
      </w:tr>
      <w:tr w:rsidR="000F2706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531</w:t>
            </w:r>
          </w:p>
        </w:tc>
      </w:tr>
      <w:tr w:rsidR="000F2706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610</w:t>
            </w:r>
          </w:p>
        </w:tc>
      </w:tr>
      <w:tr w:rsidR="000F2706" w:rsidTr="006D3A6A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640</w:t>
            </w:r>
          </w:p>
        </w:tc>
      </w:tr>
      <w:tr w:rsidR="000F2706" w:rsidTr="006D3A6A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Default="000F270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4951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06" w:rsidRPr="000F2706" w:rsidRDefault="000F2706" w:rsidP="000F2706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0F270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591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注：1.主要建材材料价格均为含税价；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2.每季度发布一次，选取各代表城市当季最后一个月发布的材料价格，此次发布内容为202</w:t>
      </w:r>
      <w:r w:rsidR="000F2706"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年</w:t>
      </w:r>
      <w:r w:rsidR="000F2706"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月份材料价格。</w:t>
      </w:r>
    </w:p>
    <w:p w:rsidR="00275B2D" w:rsidRDefault="000F2706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0F2706">
        <w:rPr>
          <w:rFonts w:ascii="仿宋" w:eastAsia="仿宋" w:hAnsi="仿宋" w:cs="仿宋"/>
          <w:noProof/>
          <w:szCs w:val="21"/>
        </w:rPr>
        <w:drawing>
          <wp:inline distT="0" distB="0" distL="0" distR="0">
            <wp:extent cx="5280237" cy="4275667"/>
            <wp:effectExtent l="19050" t="0" r="15663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064E1A">
      <w:pPr>
        <w:snapToGrid w:val="0"/>
        <w:spacing w:line="360" w:lineRule="auto"/>
      </w:pPr>
      <w:r w:rsidRPr="00064E1A">
        <w:rPr>
          <w:noProof/>
        </w:rPr>
        <w:lastRenderedPageBreak/>
        <w:drawing>
          <wp:inline distT="0" distB="0" distL="0" distR="0">
            <wp:extent cx="5287857" cy="4368800"/>
            <wp:effectExtent l="19050" t="0" r="27093" b="0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4E1A" w:rsidRDefault="00064E1A">
      <w:pPr>
        <w:snapToGrid w:val="0"/>
        <w:spacing w:line="360" w:lineRule="auto"/>
      </w:pPr>
    </w:p>
    <w:p w:rsidR="00064E1A" w:rsidRDefault="00064E1A">
      <w:pPr>
        <w:snapToGrid w:val="0"/>
        <w:spacing w:line="360" w:lineRule="auto"/>
      </w:pPr>
    </w:p>
    <w:p w:rsidR="00860310" w:rsidRDefault="00064E1A">
      <w:pPr>
        <w:snapToGrid w:val="0"/>
        <w:spacing w:line="360" w:lineRule="auto"/>
      </w:pPr>
      <w:r w:rsidRPr="00064E1A">
        <w:rPr>
          <w:noProof/>
        </w:rPr>
        <w:drawing>
          <wp:inline distT="0" distB="0" distL="0" distR="0">
            <wp:extent cx="5282777" cy="4267200"/>
            <wp:effectExtent l="19050" t="0" r="13123" b="0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275B2D"/>
    <w:p w:rsidR="005B625C" w:rsidRDefault="00064E1A">
      <w:r w:rsidRPr="00064E1A">
        <w:rPr>
          <w:noProof/>
        </w:rPr>
        <w:drawing>
          <wp:inline distT="0" distB="0" distL="0" distR="0">
            <wp:extent cx="5287857" cy="3877733"/>
            <wp:effectExtent l="19050" t="0" r="27093" b="8467"/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5B2D" w:rsidRDefault="00275B2D" w:rsidP="00F35E99"/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长三角区域主要建筑材料价格指数</w:t>
      </w:r>
    </w:p>
    <w:p w:rsidR="00275B2D" w:rsidRDefault="00064E1A">
      <w:r w:rsidRPr="00064E1A">
        <w:rPr>
          <w:noProof/>
        </w:rPr>
        <w:drawing>
          <wp:inline distT="0" distB="0" distL="0" distR="0">
            <wp:extent cx="5285317" cy="4394200"/>
            <wp:effectExtent l="19050" t="0" r="10583" b="6350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B2D" w:rsidRDefault="00064E1A">
      <w:r w:rsidRPr="00064E1A">
        <w:rPr>
          <w:noProof/>
        </w:rPr>
        <w:lastRenderedPageBreak/>
        <w:drawing>
          <wp:inline distT="0" distB="0" distL="0" distR="0">
            <wp:extent cx="5282777" cy="3979334"/>
            <wp:effectExtent l="19050" t="0" r="13123" b="2116"/>
            <wp:docPr id="15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5B2D" w:rsidRDefault="00064E1A">
      <w:pPr>
        <w:rPr>
          <w:rFonts w:ascii="仿宋" w:eastAsia="仿宋" w:hAnsi="仿宋"/>
          <w:sz w:val="28"/>
          <w:szCs w:val="28"/>
        </w:rPr>
      </w:pPr>
      <w:r w:rsidRPr="00064E1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85317" cy="4910667"/>
            <wp:effectExtent l="19050" t="0" r="10583" b="4233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5B2D" w:rsidRDefault="00257439">
      <w:r w:rsidRPr="00257439">
        <w:rPr>
          <w:noProof/>
        </w:rPr>
        <w:lastRenderedPageBreak/>
        <w:drawing>
          <wp:inline distT="0" distB="0" distL="0" distR="0">
            <wp:extent cx="5280237" cy="4165600"/>
            <wp:effectExtent l="19050" t="0" r="15663" b="6350"/>
            <wp:docPr id="17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D73B2" w:rsidRDefault="00257439">
      <w:r w:rsidRPr="00257439">
        <w:rPr>
          <w:noProof/>
        </w:rPr>
        <w:drawing>
          <wp:inline distT="0" distB="0" distL="0" distR="0">
            <wp:extent cx="5282777" cy="4783667"/>
            <wp:effectExtent l="19050" t="0" r="13123" b="0"/>
            <wp:docPr id="18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700" w:rsidRDefault="00F24700" w:rsidP="00045996">
      <w:r>
        <w:separator/>
      </w:r>
    </w:p>
  </w:endnote>
  <w:endnote w:type="continuationSeparator" w:id="1">
    <w:p w:rsidR="00F24700" w:rsidRDefault="00F24700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700" w:rsidRDefault="00F24700" w:rsidP="00045996">
      <w:r>
        <w:separator/>
      </w:r>
    </w:p>
  </w:footnote>
  <w:footnote w:type="continuationSeparator" w:id="1">
    <w:p w:rsidR="00F24700" w:rsidRDefault="00F24700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3AE3"/>
    <w:rsid w:val="00283EED"/>
    <w:rsid w:val="002B0099"/>
    <w:rsid w:val="002B5674"/>
    <w:rsid w:val="002D2763"/>
    <w:rsid w:val="002F016B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3F7580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506E79"/>
    <w:rsid w:val="00512660"/>
    <w:rsid w:val="00513B42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F1D5E"/>
    <w:rsid w:val="00610D6E"/>
    <w:rsid w:val="006137F0"/>
    <w:rsid w:val="00623FEB"/>
    <w:rsid w:val="006335D0"/>
    <w:rsid w:val="0064460F"/>
    <w:rsid w:val="006674B4"/>
    <w:rsid w:val="00670721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D43E2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2435"/>
    <w:rsid w:val="00893109"/>
    <w:rsid w:val="008A2A04"/>
    <w:rsid w:val="008B2582"/>
    <w:rsid w:val="008B5A0C"/>
    <w:rsid w:val="008D4520"/>
    <w:rsid w:val="008D73B2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A4889"/>
    <w:rsid w:val="00AB0112"/>
    <w:rsid w:val="00AC6693"/>
    <w:rsid w:val="00AD1D31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C05354"/>
    <w:rsid w:val="00C108AD"/>
    <w:rsid w:val="00C34DA9"/>
    <w:rsid w:val="00C40275"/>
    <w:rsid w:val="00C577AF"/>
    <w:rsid w:val="00C62A97"/>
    <w:rsid w:val="00C63138"/>
    <w:rsid w:val="00C9266F"/>
    <w:rsid w:val="00CA12F6"/>
    <w:rsid w:val="00CA2000"/>
    <w:rsid w:val="00CB369D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44161"/>
    <w:rsid w:val="00E44432"/>
    <w:rsid w:val="00E54DF5"/>
    <w:rsid w:val="00EC079F"/>
    <w:rsid w:val="00EC18E2"/>
    <w:rsid w:val="00ED23F1"/>
    <w:rsid w:val="00ED3FA7"/>
    <w:rsid w:val="00EE14D4"/>
    <w:rsid w:val="00F04EBD"/>
    <w:rsid w:val="00F24700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48;&#26009;&#20449;&#24687;&#20215;&#26684;\2022&#24180;2&#23395;&#24230;&#25968;&#25454;\&#22270;&#34920;&#12289;&#26609;&#24418;&#22270;&#12289;&#25351;&#25968;&#22270;&#27979;&#31639;&#34920;&#8212;&#8212;&#27719;&#24635;&#20570;&#26609;&#22411;&#22270;&#12289;&#25351;&#25968;2022.7.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rich>
      </c:tx>
      <c:layout>
        <c:manualLayout>
          <c:xMode val="edge"/>
          <c:yMode val="edge"/>
          <c:x val="0.42288488210818553"/>
          <c:y val="9.183673469387758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'制作图表-钢材价格'!$D$4:$E$4</c:f>
              <c:numCache>
                <c:formatCode>0_);[Red]\(0\)</c:formatCode>
                <c:ptCount val="2"/>
                <c:pt idx="0">
                  <c:v>5350</c:v>
                </c:pt>
                <c:pt idx="1">
                  <c:v>4995</c:v>
                </c:pt>
              </c:numCache>
            </c:numRef>
          </c:val>
        </c:ser>
        <c:ser>
          <c:idx val="1"/>
          <c:order val="1"/>
          <c:tx>
            <c:strRef>
              <c:f>'制作图表-钢材价格'!$C$5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'制作图表-钢材价格'!$D$5:$E$5</c:f>
              <c:numCache>
                <c:formatCode>0_);[Red]\(0\)</c:formatCode>
                <c:ptCount val="2"/>
                <c:pt idx="0">
                  <c:v>5224</c:v>
                </c:pt>
                <c:pt idx="1">
                  <c:v>5031</c:v>
                </c:pt>
              </c:numCache>
            </c:numRef>
          </c:val>
        </c:ser>
        <c:ser>
          <c:idx val="2"/>
          <c:order val="2"/>
          <c:tx>
            <c:strRef>
              <c:f>'制作图表-钢材价格'!$C$6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'制作图表-钢材价格'!$D$6:$E$6</c:f>
              <c:numCache>
                <c:formatCode>0_);[Red]\(0\)</c:formatCode>
                <c:ptCount val="2"/>
                <c:pt idx="0">
                  <c:v>5075</c:v>
                </c:pt>
                <c:pt idx="1">
                  <c:v>4779</c:v>
                </c:pt>
              </c:numCache>
            </c:numRef>
          </c:val>
        </c:ser>
        <c:ser>
          <c:idx val="3"/>
          <c:order val="3"/>
          <c:tx>
            <c:strRef>
              <c:f>'制作图表-钢材价格'!$C$7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'制作图表-钢材价格'!$D$7:$E$7</c:f>
              <c:numCache>
                <c:formatCode>0_);[Red]\(0\)</c:formatCode>
                <c:ptCount val="2"/>
                <c:pt idx="0">
                  <c:v>5360</c:v>
                </c:pt>
                <c:pt idx="1">
                  <c:v>5000</c:v>
                </c:pt>
              </c:numCache>
            </c:numRef>
          </c:val>
        </c:ser>
        <c:ser>
          <c:idx val="4"/>
          <c:order val="4"/>
          <c:tx>
            <c:strRef>
              <c:f>'制作图表-钢材价格'!$C$8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'制作图表-钢材价格'!$D$8:$E$8</c:f>
              <c:numCache>
                <c:formatCode>0_);[Red]\(0\)</c:formatCode>
                <c:ptCount val="2"/>
                <c:pt idx="0">
                  <c:v>5252.25</c:v>
                </c:pt>
                <c:pt idx="1">
                  <c:v>4951.25</c:v>
                </c:pt>
              </c:numCache>
            </c:numRef>
          </c:val>
        </c:ser>
        <c:gapWidth val="219"/>
        <c:overlap val="-27"/>
        <c:axId val="230832384"/>
        <c:axId val="230834176"/>
      </c:barChart>
      <c:catAx>
        <c:axId val="230832384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834176"/>
        <c:crosses val="autoZero"/>
        <c:auto val="1"/>
        <c:lblAlgn val="ctr"/>
        <c:lblOffset val="100"/>
      </c:catAx>
      <c:valAx>
        <c:axId val="230834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83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0603878116343519"/>
          <c:y val="0.17745130406074641"/>
          <c:w val="0.86349030470914101"/>
          <c:h val="0.66761307362166089"/>
        </c:manualLayout>
      </c:layout>
      <c:barChart>
        <c:barDir val="col"/>
        <c:grouping val="clustered"/>
        <c:ser>
          <c:idx val="0"/>
          <c:order val="0"/>
          <c:tx>
            <c:strRef>
              <c:f>'制作图表-水泥价格'!$C$3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'制作图表-水泥价格'!$D$3</c:f>
              <c:numCache>
                <c:formatCode>0_);[Red]\(0\)</c:formatCode>
                <c:ptCount val="1"/>
                <c:pt idx="0">
                  <c:v>445</c:v>
                </c:pt>
              </c:numCache>
            </c:numRef>
          </c:val>
        </c:ser>
        <c:ser>
          <c:idx val="1"/>
          <c:order val="1"/>
          <c:tx>
            <c:strRef>
              <c:f>'制作图表-水泥价格'!$C$4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'制作图表-水泥价格'!$D$4</c:f>
              <c:numCache>
                <c:formatCode>0_);[Red]\(0\)</c:formatCode>
                <c:ptCount val="1"/>
                <c:pt idx="0">
                  <c:v>469</c:v>
                </c:pt>
              </c:numCache>
            </c:numRef>
          </c:val>
        </c:ser>
        <c:ser>
          <c:idx val="2"/>
          <c:order val="2"/>
          <c:tx>
            <c:strRef>
              <c:f>'制作图表-水泥价格'!$C$5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'制作图表-水泥价格'!$D$5</c:f>
              <c:numCache>
                <c:formatCode>0_);[Red]\(0\)</c:formatCode>
                <c:ptCount val="1"/>
                <c:pt idx="0">
                  <c:v>425</c:v>
                </c:pt>
              </c:numCache>
            </c:numRef>
          </c:val>
        </c:ser>
        <c:ser>
          <c:idx val="3"/>
          <c:order val="3"/>
          <c:tx>
            <c:strRef>
              <c:f>'制作图表-水泥价格'!$C$6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'制作图表-水泥价格'!$D$6</c:f>
              <c:numCache>
                <c:formatCode>0_);[Red]\(0\)</c:formatCode>
                <c:ptCount val="1"/>
                <c:pt idx="0">
                  <c:v>460</c:v>
                </c:pt>
              </c:numCache>
            </c:numRef>
          </c:val>
        </c:ser>
        <c:ser>
          <c:idx val="4"/>
          <c:order val="4"/>
          <c:tx>
            <c:strRef>
              <c:f>'制作图表-水泥价格'!$C$7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'制作图表-水泥价格'!$D$7</c:f>
              <c:numCache>
                <c:formatCode>0_);[Red]\(0\)</c:formatCode>
                <c:ptCount val="1"/>
                <c:pt idx="0">
                  <c:v>449.75</c:v>
                </c:pt>
              </c:numCache>
            </c:numRef>
          </c:val>
        </c:ser>
        <c:gapWidth val="219"/>
        <c:overlap val="-27"/>
        <c:axId val="230869632"/>
        <c:axId val="230879616"/>
      </c:barChart>
      <c:catAx>
        <c:axId val="230869632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879616"/>
        <c:crosses val="autoZero"/>
        <c:auto val="1"/>
        <c:lblAlgn val="ctr"/>
        <c:lblOffset val="100"/>
      </c:catAx>
      <c:valAx>
        <c:axId val="230879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869632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砌块价格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'制作图表-砌块价格'!$D$3</c:f>
              <c:numCache>
                <c:formatCode>0_);[Red]\(0\)</c:formatCode>
                <c:ptCount val="1"/>
                <c:pt idx="0">
                  <c:v>385</c:v>
                </c:pt>
              </c:numCache>
            </c:numRef>
          </c:val>
        </c:ser>
        <c:ser>
          <c:idx val="1"/>
          <c:order val="1"/>
          <c:tx>
            <c:strRef>
              <c:f>'制作图表-砌块价格'!$C$4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'制作图表-砌块价格'!$D$4</c:f>
              <c:numCache>
                <c:formatCode>0_);[Red]\(0\)</c:formatCode>
                <c:ptCount val="1"/>
                <c:pt idx="0">
                  <c:v>425</c:v>
                </c:pt>
              </c:numCache>
            </c:numRef>
          </c:val>
        </c:ser>
        <c:ser>
          <c:idx val="2"/>
          <c:order val="2"/>
          <c:tx>
            <c:strRef>
              <c:f>'制作图表-砌块价格'!$C$5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'制作图表-砌块价格'!$D$5</c:f>
              <c:numCache>
                <c:formatCode>0_);[Red]\(0\)</c:formatCode>
                <c:ptCount val="1"/>
                <c:pt idx="0">
                  <c:v>420</c:v>
                </c:pt>
              </c:numCache>
            </c:numRef>
          </c:val>
        </c:ser>
        <c:ser>
          <c:idx val="3"/>
          <c:order val="3"/>
          <c:tx>
            <c:strRef>
              <c:f>'制作图表-砌块价格'!$C$6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'制作图表-砌块价格'!$D$6</c:f>
              <c:numCache>
                <c:formatCode>0_);[Red]\(0\)</c:formatCode>
                <c:ptCount val="1"/>
                <c:pt idx="0">
                  <c:v>526</c:v>
                </c:pt>
              </c:numCache>
            </c:numRef>
          </c:val>
        </c:ser>
        <c:ser>
          <c:idx val="4"/>
          <c:order val="4"/>
          <c:tx>
            <c:strRef>
              <c:f>'制作图表-砌块价格'!$C$7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'制作图表-砌块价格'!$D$7</c:f>
              <c:numCache>
                <c:formatCode>0_);[Red]\(0\)</c:formatCode>
                <c:ptCount val="1"/>
                <c:pt idx="0">
                  <c:v>439</c:v>
                </c:pt>
              </c:numCache>
            </c:numRef>
          </c:val>
        </c:ser>
        <c:gapWidth val="219"/>
        <c:overlap val="-27"/>
        <c:axId val="232397824"/>
        <c:axId val="232399616"/>
      </c:barChart>
      <c:catAx>
        <c:axId val="232397824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399616"/>
        <c:crosses val="autoZero"/>
        <c:auto val="1"/>
        <c:lblAlgn val="ctr"/>
        <c:lblOffset val="100"/>
      </c:catAx>
      <c:valAx>
        <c:axId val="232399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39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1"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混凝土价格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'!$D$3</c:f>
              <c:numCache>
                <c:formatCode>0_);[Red]\(0\)</c:formatCode>
                <c:ptCount val="1"/>
                <c:pt idx="0">
                  <c:v>584</c:v>
                </c:pt>
              </c:numCache>
            </c:numRef>
          </c:val>
        </c:ser>
        <c:ser>
          <c:idx val="1"/>
          <c:order val="1"/>
          <c:tx>
            <c:strRef>
              <c:f>'制作图表-混凝土价格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'!$D$4</c:f>
              <c:numCache>
                <c:formatCode>0_);[Red]\(0\)</c:formatCode>
                <c:ptCount val="1"/>
                <c:pt idx="0">
                  <c:v>531</c:v>
                </c:pt>
              </c:numCache>
            </c:numRef>
          </c:val>
        </c:ser>
        <c:ser>
          <c:idx val="2"/>
          <c:order val="2"/>
          <c:tx>
            <c:strRef>
              <c:f>'制作图表-混凝土价格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'!$D$5</c:f>
              <c:numCache>
                <c:formatCode>0_);[Red]\(0\)</c:formatCode>
                <c:ptCount val="1"/>
                <c:pt idx="0">
                  <c:v>610</c:v>
                </c:pt>
              </c:numCache>
            </c:numRef>
          </c:val>
        </c:ser>
        <c:ser>
          <c:idx val="3"/>
          <c:order val="3"/>
          <c:tx>
            <c:strRef>
              <c:f>'制作图表-混凝土价格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'!$D$6</c:f>
              <c:numCache>
                <c:formatCode>0_);[Red]\(0\)</c:formatCode>
                <c:ptCount val="1"/>
                <c:pt idx="0">
                  <c:v>640</c:v>
                </c:pt>
              </c:numCache>
            </c:numRef>
          </c:val>
        </c:ser>
        <c:ser>
          <c:idx val="4"/>
          <c:order val="4"/>
          <c:tx>
            <c:strRef>
              <c:f>'制作图表-混凝土价格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'!$D$7</c:f>
              <c:numCache>
                <c:formatCode>0_);[Red]\(0\)</c:formatCode>
                <c:ptCount val="1"/>
                <c:pt idx="0">
                  <c:v>591.25</c:v>
                </c:pt>
              </c:numCache>
            </c:numRef>
          </c:val>
        </c:ser>
        <c:gapWidth val="219"/>
        <c:overlap val="-27"/>
        <c:axId val="232418688"/>
        <c:axId val="232428672"/>
      </c:barChart>
      <c:catAx>
        <c:axId val="23241868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428672"/>
        <c:crosses val="autoZero"/>
        <c:auto val="1"/>
        <c:lblAlgn val="ctr"/>
        <c:lblOffset val="100"/>
      </c:catAx>
      <c:valAx>
        <c:axId val="2324286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41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'热轧光圆钢筋 HPB300 Φ8mm指数2022.7'!$A$17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'热轧光圆钢筋 HPB300 Φ8mm指数2022.7'!$B$16:$X$16</c:f>
              <c:strCache>
                <c:ptCount val="2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</c:strCache>
            </c:strRef>
          </c:cat>
          <c:val>
            <c:numRef>
              <c:f>'热轧光圆钢筋 HPB300 Φ8mm指数2022.7'!$B$17:$X$17</c:f>
              <c:numCache>
                <c:formatCode>0.000_ </c:formatCode>
                <c:ptCount val="23"/>
                <c:pt idx="0">
                  <c:v>1</c:v>
                </c:pt>
                <c:pt idx="1">
                  <c:v>1.1339999999999992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1.2369999999999994</c:v>
                </c:pt>
                <c:pt idx="6">
                  <c:v>1.2869999999999993</c:v>
                </c:pt>
                <c:pt idx="7">
                  <c:v>1.3720000000000001</c:v>
                </c:pt>
                <c:pt idx="8">
                  <c:v>1.206</c:v>
                </c:pt>
                <c:pt idx="9">
                  <c:v>1.2109999999999994</c:v>
                </c:pt>
                <c:pt idx="10">
                  <c:v>1.2369999999999994</c:v>
                </c:pt>
                <c:pt idx="11">
                  <c:v>1.1830000000000001</c:v>
                </c:pt>
                <c:pt idx="12">
                  <c:v>1.2349999999999994</c:v>
                </c:pt>
                <c:pt idx="13">
                  <c:v>1.1120000000000001</c:v>
                </c:pt>
                <c:pt idx="14">
                  <c:v>1.1459999999999992</c:v>
                </c:pt>
                <c:pt idx="15">
                  <c:v>1.2</c:v>
                </c:pt>
                <c:pt idx="16">
                  <c:v>1.3420000000000001</c:v>
                </c:pt>
                <c:pt idx="17">
                  <c:v>1.4249999999999994</c:v>
                </c:pt>
                <c:pt idx="18">
                  <c:v>1.6140000000000001</c:v>
                </c:pt>
                <c:pt idx="19">
                  <c:v>1.6850000000000001</c:v>
                </c:pt>
                <c:pt idx="20" formatCode="General">
                  <c:v>1.4829999999999994</c:v>
                </c:pt>
                <c:pt idx="21" formatCode="General">
                  <c:v>1.486</c:v>
                </c:pt>
                <c:pt idx="22" formatCode="General">
                  <c:v>1.446</c:v>
                </c:pt>
              </c:numCache>
            </c:numRef>
          </c:val>
        </c:ser>
        <c:marker val="1"/>
        <c:axId val="230793216"/>
        <c:axId val="230794752"/>
      </c:lineChart>
      <c:catAx>
        <c:axId val="230793216"/>
        <c:scaling>
          <c:orientation val="minMax"/>
        </c:scaling>
        <c:axPos val="b"/>
        <c:tickLblPos val="nextTo"/>
        <c:crossAx val="230794752"/>
        <c:crosses val="autoZero"/>
        <c:auto val="1"/>
        <c:lblAlgn val="ctr"/>
        <c:lblOffset val="100"/>
      </c:catAx>
      <c:valAx>
        <c:axId val="230794752"/>
        <c:scaling>
          <c:orientation val="minMax"/>
          <c:max val="1.8"/>
          <c:min val="1"/>
        </c:scaling>
        <c:axPos val="l"/>
        <c:majorGridlines/>
        <c:numFmt formatCode="0%" sourceLinked="0"/>
        <c:tickLblPos val="nextTo"/>
        <c:crossAx val="230793216"/>
        <c:crosses val="autoZero"/>
        <c:crossBetween val="between"/>
        <c:majorUnit val="0.1"/>
        <c:minorUnit val="0.05"/>
      </c:valAx>
    </c:plotArea>
    <c:plotVisOnly val="1"/>
  </c:chart>
  <c:spPr>
    <a:ln w="6350"/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'热轧带肋钢筋（HRB400）Φ25指数2022.7'!$A$18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'热轧带肋钢筋（HRB400）Φ25指数2022.7'!$B$17:$X$17</c:f>
              <c:strCache>
                <c:ptCount val="2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</c:strCache>
            </c:strRef>
          </c:cat>
          <c:val>
            <c:numRef>
              <c:f>'热轧带肋钢筋（HRB400）Φ25指数2022.7'!$B$18:$X$18</c:f>
              <c:numCache>
                <c:formatCode>0.000_ </c:formatCode>
                <c:ptCount val="23"/>
                <c:pt idx="0">
                  <c:v>1</c:v>
                </c:pt>
                <c:pt idx="1">
                  <c:v>1.155</c:v>
                </c:pt>
                <c:pt idx="2">
                  <c:v>1.1459999999999992</c:v>
                </c:pt>
                <c:pt idx="3">
                  <c:v>1.3029999999999993</c:v>
                </c:pt>
                <c:pt idx="4">
                  <c:v>1.496</c:v>
                </c:pt>
                <c:pt idx="5">
                  <c:v>1.266</c:v>
                </c:pt>
                <c:pt idx="6">
                  <c:v>1.2829999999999993</c:v>
                </c:pt>
                <c:pt idx="7">
                  <c:v>1.389</c:v>
                </c:pt>
                <c:pt idx="8">
                  <c:v>1.228</c:v>
                </c:pt>
                <c:pt idx="9">
                  <c:v>1.2289999999999994</c:v>
                </c:pt>
                <c:pt idx="10">
                  <c:v>1.2509999999999992</c:v>
                </c:pt>
                <c:pt idx="11">
                  <c:v>1.181</c:v>
                </c:pt>
                <c:pt idx="12">
                  <c:v>1.2589999999999992</c:v>
                </c:pt>
                <c:pt idx="13">
                  <c:v>1.1299999999999992</c:v>
                </c:pt>
                <c:pt idx="14">
                  <c:v>1.1599999999999993</c:v>
                </c:pt>
                <c:pt idx="15">
                  <c:v>1.1879999999999993</c:v>
                </c:pt>
                <c:pt idx="16">
                  <c:v>1.3220000000000001</c:v>
                </c:pt>
                <c:pt idx="17">
                  <c:v>1.4549999999999994</c:v>
                </c:pt>
                <c:pt idx="18">
                  <c:v>1.5760000000000001</c:v>
                </c:pt>
                <c:pt idx="19">
                  <c:v>1.679</c:v>
                </c:pt>
                <c:pt idx="20">
                  <c:v>1.494</c:v>
                </c:pt>
                <c:pt idx="21" formatCode="General">
                  <c:v>1.5069999999999992</c:v>
                </c:pt>
                <c:pt idx="22" formatCode="General">
                  <c:v>1.4389999999999994</c:v>
                </c:pt>
              </c:numCache>
            </c:numRef>
          </c:val>
        </c:ser>
        <c:marker val="1"/>
        <c:axId val="232474496"/>
        <c:axId val="232476032"/>
      </c:lineChart>
      <c:catAx>
        <c:axId val="232474496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476032"/>
        <c:crosses val="autoZero"/>
        <c:auto val="1"/>
        <c:lblAlgn val="ctr"/>
        <c:lblOffset val="100"/>
      </c:catAx>
      <c:valAx>
        <c:axId val="232476032"/>
        <c:scaling>
          <c:orientation val="minMax"/>
          <c:max val="1.8"/>
          <c:min val="1"/>
        </c:scaling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474496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普通硅酸盐水泥P·O42.5级</a:t>
            </a:r>
            <a:r>
              <a:rPr altLang="en-US"/>
              <a:t>（</a:t>
            </a:r>
            <a:r>
              <a:rPr lang="en-US" altLang="zh-CN"/>
              <a:t>散装）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'普通硅酸盐水泥P·O42.5级  （散装）指数2022.7'!$A$17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('普通硅酸盐水泥P·O42.5级  （散装）指数2022.7'!$B$16:$U$16,'普通硅酸盐水泥P·O42.5级  （散装）指数2022.7'!$V$16:$X$16)</c:f>
              <c:strCache>
                <c:ptCount val="2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</c:strCache>
            </c:strRef>
          </c:cat>
          <c:val>
            <c:numRef>
              <c:f>('普通硅酸盐水泥P·O42.5级  （散装）指数2022.7'!$B$17:$U$17,'普通硅酸盐水泥P·O42.5级  （散装）指数2022.7'!$V$17:$X$17)</c:f>
              <c:numCache>
                <c:formatCode>#,##0.000_ </c:formatCode>
                <c:ptCount val="23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1.1459999999999992</c:v>
                </c:pt>
                <c:pt idx="4">
                  <c:v>1.7769999999999992</c:v>
                </c:pt>
                <c:pt idx="5">
                  <c:v>1.3340000000000001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1.7829999999999993</c:v>
                </c:pt>
                <c:pt idx="13">
                  <c:v>1.56</c:v>
                </c:pt>
                <c:pt idx="14">
                  <c:v>1.5229999999999992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1.4969999999999994</c:v>
                </c:pt>
                <c:pt idx="19">
                  <c:v>1.8029999999999993</c:v>
                </c:pt>
                <c:pt idx="20">
                  <c:v>1.9510000000000001</c:v>
                </c:pt>
                <c:pt idx="21" formatCode="General">
                  <c:v>1.6940000000000006</c:v>
                </c:pt>
                <c:pt idx="22" formatCode="General">
                  <c:v>1.286</c:v>
                </c:pt>
              </c:numCache>
            </c:numRef>
          </c:val>
        </c:ser>
        <c:marker val="1"/>
        <c:axId val="232516224"/>
        <c:axId val="232558976"/>
      </c:lineChart>
      <c:catAx>
        <c:axId val="232516224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558976"/>
        <c:crosses val="autoZero"/>
        <c:auto val="1"/>
        <c:lblAlgn val="ctr"/>
        <c:lblOffset val="100"/>
        <c:tickMarkSkip val="30"/>
      </c:catAx>
      <c:valAx>
        <c:axId val="232558976"/>
        <c:scaling>
          <c:orientation val="minMax"/>
          <c:max val="2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516224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蒸压砂加气混凝土砌块(A5.0 B07)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'蒸压砂加气混凝土砌块(A5.0 B07) 指数 2022.7'!$A$17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('蒸压砂加气混凝土砌块(A5.0 B07) 指数 2022.7'!$B$16:$U$16,'蒸压砂加气混凝土砌块(A5.0 B07) 指数 2022.7'!$V$16:$X$16)</c:f>
              <c:strCache>
                <c:ptCount val="2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</c:strCache>
            </c:strRef>
          </c:cat>
          <c:val>
            <c:numRef>
              <c:f>('蒸压砂加气混凝土砌块(A5.0 B07) 指数 2022.7'!$B$17:$U$17,'蒸压砂加气混凝土砌块(A5.0 B07) 指数 2022.7'!$V$17:$X$17)</c:f>
              <c:numCache>
                <c:formatCode>#,##0.000_ </c:formatCode>
                <c:ptCount val="23"/>
                <c:pt idx="0" formatCode="0.000_ ">
                  <c:v>1</c:v>
                </c:pt>
                <c:pt idx="1">
                  <c:v>1.0229999999999992</c:v>
                </c:pt>
                <c:pt idx="2">
                  <c:v>1.056</c:v>
                </c:pt>
                <c:pt idx="3">
                  <c:v>1.0760000000000001</c:v>
                </c:pt>
                <c:pt idx="4">
                  <c:v>1.153</c:v>
                </c:pt>
                <c:pt idx="5">
                  <c:v>1.2029999999999994</c:v>
                </c:pt>
                <c:pt idx="6">
                  <c:v>1.2989999999999993</c:v>
                </c:pt>
                <c:pt idx="7">
                  <c:v>1.3220000000000001</c:v>
                </c:pt>
                <c:pt idx="8">
                  <c:v>1.3919999999999992</c:v>
                </c:pt>
                <c:pt idx="9">
                  <c:v>1.395</c:v>
                </c:pt>
                <c:pt idx="10">
                  <c:v>1.4189999999999994</c:v>
                </c:pt>
                <c:pt idx="11">
                  <c:v>1.4089999999999994</c:v>
                </c:pt>
                <c:pt idx="12">
                  <c:v>1.4319999999999986</c:v>
                </c:pt>
                <c:pt idx="13">
                  <c:v>1.4189999999999994</c:v>
                </c:pt>
                <c:pt idx="14">
                  <c:v>1.4089999999999994</c:v>
                </c:pt>
                <c:pt idx="15">
                  <c:v>1.3919999999999992</c:v>
                </c:pt>
                <c:pt idx="16">
                  <c:v>1.4119999999999986</c:v>
                </c:pt>
                <c:pt idx="17">
                  <c:v>1.4189999999999994</c:v>
                </c:pt>
                <c:pt idx="18">
                  <c:v>1.4189999999999994</c:v>
                </c:pt>
                <c:pt idx="19">
                  <c:v>1.4389999999999994</c:v>
                </c:pt>
                <c:pt idx="20">
                  <c:v>1.508</c:v>
                </c:pt>
                <c:pt idx="21" formatCode="General">
                  <c:v>1.488</c:v>
                </c:pt>
                <c:pt idx="22" formatCode="General">
                  <c:v>1.458</c:v>
                </c:pt>
              </c:numCache>
            </c:numRef>
          </c:val>
        </c:ser>
        <c:marker val="1"/>
        <c:axId val="232566144"/>
        <c:axId val="232567936"/>
      </c:lineChart>
      <c:catAx>
        <c:axId val="232566144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567936"/>
        <c:crosses val="autoZero"/>
        <c:auto val="1"/>
        <c:lblAlgn val="ctr"/>
        <c:lblOffset val="100"/>
        <c:tickMarkSkip val="30"/>
      </c:catAx>
      <c:valAx>
        <c:axId val="232567936"/>
        <c:scaling>
          <c:orientation val="minMax"/>
          <c:max val="1.6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566144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'预拌混凝土（泵送型）C30粒径5～25 坍落度12cm2022'!$A$17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('预拌混凝土（泵送型）C30粒径5～25 坍落度12cm2022'!$B$16:$U$16,'预拌混凝土（泵送型）C30粒径5～25 坍落度12cm2022'!$V$16:$X$16)</c:f>
              <c:strCache>
                <c:ptCount val="2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</c:strCache>
            </c:strRef>
          </c:cat>
          <c:val>
            <c:numRef>
              <c:f>('预拌混凝土（泵送型）C30粒径5～25 坍落度12cm2022'!$B$17:$U$17,'预拌混凝土（泵送型）C30粒径5～25 坍落度12cm2022'!$V$17:$X$17)</c:f>
              <c:numCache>
                <c:formatCode>0.000_ </c:formatCode>
                <c:ptCount val="23"/>
                <c:pt idx="0">
                  <c:v>1</c:v>
                </c:pt>
                <c:pt idx="1">
                  <c:v>1.06</c:v>
                </c:pt>
                <c:pt idx="2">
                  <c:v>1.1940000000000006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1.4869999999999994</c:v>
                </c:pt>
                <c:pt idx="7">
                  <c:v>1.5469999999999993</c:v>
                </c:pt>
                <c:pt idx="8">
                  <c:v>1.7409999999999994</c:v>
                </c:pt>
                <c:pt idx="9">
                  <c:v>1.5980000000000001</c:v>
                </c:pt>
                <c:pt idx="10">
                  <c:v>1.7009999999999994</c:v>
                </c:pt>
                <c:pt idx="11">
                  <c:v>1.718</c:v>
                </c:pt>
                <c:pt idx="12">
                  <c:v>1.8660000000000001</c:v>
                </c:pt>
                <c:pt idx="13">
                  <c:v>1.7829999999999993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1.7289999999999994</c:v>
                </c:pt>
                <c:pt idx="18">
                  <c:v>1.7809999999999993</c:v>
                </c:pt>
                <c:pt idx="19">
                  <c:v>1.863</c:v>
                </c:pt>
                <c:pt idx="20">
                  <c:v>1.917</c:v>
                </c:pt>
                <c:pt idx="21" formatCode="General">
                  <c:v>1.8380000000000001</c:v>
                </c:pt>
                <c:pt idx="22" formatCode="General">
                  <c:v>1.6839999999999993</c:v>
                </c:pt>
              </c:numCache>
            </c:numRef>
          </c:val>
        </c:ser>
        <c:marker val="1"/>
        <c:axId val="232628608"/>
        <c:axId val="232630144"/>
      </c:lineChart>
      <c:catAx>
        <c:axId val="232628608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630144"/>
        <c:crosses val="autoZero"/>
        <c:auto val="1"/>
        <c:lblAlgn val="ctr"/>
        <c:lblOffset val="100"/>
        <c:tickMarkSkip val="30"/>
      </c:catAx>
      <c:valAx>
        <c:axId val="232630144"/>
        <c:scaling>
          <c:orientation val="minMax"/>
          <c:max val="2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62860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</Words>
  <Characters>379</Characters>
  <Application>Microsoft Office Word</Application>
  <DocSecurity>0</DocSecurity>
  <Lines>3</Lines>
  <Paragraphs>1</Paragraphs>
  <ScaleCrop>false</ScaleCrop>
  <Company>Company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2020-08-04T01:06:00Z</cp:lastPrinted>
  <dcterms:created xsi:type="dcterms:W3CDTF">2022-07-19T01:03:00Z</dcterms:created>
  <dcterms:modified xsi:type="dcterms:W3CDTF">2022-07-19T01:03:00Z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