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1E" w:rsidRDefault="00AA281E" w:rsidP="00F36841">
      <w:pPr>
        <w:widowControl/>
        <w:rPr>
          <w:b/>
          <w:bCs/>
          <w:sz w:val="24"/>
        </w:rPr>
      </w:pPr>
      <w:bookmarkStart w:id="0" w:name="OLE_LINK1"/>
      <w:r>
        <w:rPr>
          <w:rFonts w:hint="eastAsia"/>
          <w:b/>
          <w:bCs/>
          <w:sz w:val="24"/>
        </w:rPr>
        <w:t>附</w:t>
      </w:r>
      <w:r>
        <w:rPr>
          <w:b/>
          <w:bCs/>
          <w:sz w:val="24"/>
        </w:rPr>
        <w:t>1</w:t>
      </w:r>
      <w:r>
        <w:rPr>
          <w:rFonts w:hint="eastAsia"/>
          <w:b/>
          <w:bCs/>
          <w:sz w:val="24"/>
        </w:rPr>
        <w:t>：</w:t>
      </w:r>
    </w:p>
    <w:p w:rsidR="00AA281E" w:rsidRDefault="00AA281E" w:rsidP="00F36841">
      <w:pPr>
        <w:widowControl/>
        <w:spacing w:line="560" w:lineRule="exact"/>
        <w:jc w:val="center"/>
        <w:rPr>
          <w:rFonts w:ascii="黑体" w:eastAsia="黑体" w:hAnsi="宋体" w:cs="宋体"/>
          <w:b/>
          <w:bCs/>
          <w:kern w:val="0"/>
          <w:sz w:val="44"/>
          <w:szCs w:val="44"/>
        </w:rPr>
      </w:pPr>
      <w:r>
        <w:rPr>
          <w:rFonts w:ascii="华文中宋" w:eastAsia="华文中宋" w:hAnsi="华文中宋" w:cs="华文中宋" w:hint="eastAsia"/>
          <w:b/>
          <w:color w:val="000000"/>
          <w:kern w:val="0"/>
          <w:sz w:val="44"/>
          <w:szCs w:val="44"/>
        </w:rPr>
        <w:t>徐州市招标控制价经验值测算表</w:t>
      </w:r>
    </w:p>
    <w:p w:rsidR="00AA281E" w:rsidRDefault="00AA281E" w:rsidP="00F36841">
      <w:pPr>
        <w:widowControl/>
        <w:spacing w:line="560" w:lineRule="exact"/>
        <w:rPr>
          <w:rFonts w:ascii="仿宋_GB2312" w:eastAsia="仿宋_GB2312" w:hAnsi="宋体" w:cs="宋体"/>
          <w:b/>
          <w:kern w:val="0"/>
          <w:sz w:val="32"/>
          <w:szCs w:val="32"/>
        </w:rPr>
      </w:pPr>
      <w:r>
        <w:rPr>
          <w:rFonts w:ascii="仿宋_GB2312" w:eastAsia="仿宋_GB2312" w:hAnsi="宋体" w:cs="宋体" w:hint="eastAsia"/>
          <w:b/>
          <w:kern w:val="0"/>
          <w:sz w:val="32"/>
          <w:szCs w:val="32"/>
        </w:rPr>
        <w:t>填报单位：</w:t>
      </w:r>
      <w:r>
        <w:rPr>
          <w:rFonts w:ascii="仿宋_GB2312" w:eastAsia="仿宋_GB2312" w:hAnsi="宋体" w:cs="宋体"/>
          <w:b/>
          <w:kern w:val="0"/>
          <w:sz w:val="32"/>
          <w:szCs w:val="32"/>
        </w:rPr>
        <w:t xml:space="preserve">                            </w:t>
      </w:r>
      <w:r>
        <w:rPr>
          <w:rFonts w:ascii="仿宋_GB2312" w:eastAsia="仿宋_GB2312" w:hAnsi="宋体" w:cs="宋体" w:hint="eastAsia"/>
          <w:b/>
          <w:kern w:val="0"/>
          <w:sz w:val="32"/>
          <w:szCs w:val="32"/>
        </w:rPr>
        <w:t>承办人：</w:t>
      </w:r>
      <w:r>
        <w:rPr>
          <w:rFonts w:ascii="仿宋_GB2312" w:eastAsia="仿宋_GB2312" w:hAnsi="宋体" w:cs="宋体"/>
          <w:b/>
          <w:kern w:val="0"/>
          <w:sz w:val="32"/>
          <w:szCs w:val="32"/>
        </w:rPr>
        <w:t xml:space="preserve">               </w:t>
      </w:r>
      <w:r>
        <w:rPr>
          <w:rFonts w:ascii="仿宋_GB2312" w:eastAsia="仿宋_GB2312" w:hAnsi="宋体" w:cs="宋体" w:hint="eastAsia"/>
          <w:b/>
          <w:kern w:val="0"/>
          <w:sz w:val="32"/>
          <w:szCs w:val="32"/>
        </w:rPr>
        <w:t>技术负责人或总工：</w:t>
      </w:r>
    </w:p>
    <w:tbl>
      <w:tblPr>
        <w:tblW w:w="0" w:type="auto"/>
        <w:tblLayout w:type="fixed"/>
        <w:tblCellMar>
          <w:left w:w="0" w:type="dxa"/>
          <w:right w:w="0" w:type="dxa"/>
        </w:tblCellMar>
        <w:tblLook w:val="0000"/>
      </w:tblPr>
      <w:tblGrid>
        <w:gridCol w:w="595"/>
        <w:gridCol w:w="2235"/>
        <w:gridCol w:w="1650"/>
        <w:gridCol w:w="2895"/>
        <w:gridCol w:w="1800"/>
        <w:gridCol w:w="4871"/>
      </w:tblGrid>
      <w:tr w:rsidR="00AA281E" w:rsidTr="00905563">
        <w:trPr>
          <w:trHeight w:val="58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序号</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工程类别</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结构形式</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层数（檐口高度）</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最新测算平均值（元</w:t>
            </w:r>
            <w:r>
              <w:rPr>
                <w:rFonts w:ascii="仿宋" w:eastAsia="仿宋" w:hAnsi="仿宋" w:cs="仿宋"/>
                <w:color w:val="000000"/>
                <w:kern w:val="0"/>
                <w:sz w:val="24"/>
              </w:rPr>
              <w:t>/M</w:t>
            </w:r>
            <w:r>
              <w:rPr>
                <w:rStyle w:val="font81"/>
              </w:rPr>
              <w:t>2</w:t>
            </w:r>
            <w:r>
              <w:rPr>
                <w:rStyle w:val="font41"/>
                <w:rFonts w:hint="eastAsia"/>
              </w:rPr>
              <w:t>）</w:t>
            </w: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hint="eastAsia"/>
                <w:color w:val="000000"/>
                <w:kern w:val="0"/>
                <w:sz w:val="24"/>
              </w:rPr>
              <w:t>需要特别说明的内容</w:t>
            </w:r>
          </w:p>
        </w:tc>
      </w:tr>
      <w:tr w:rsidR="00AA281E" w:rsidTr="00905563">
        <w:trPr>
          <w:trHeight w:val="365"/>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1</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多层住宅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框架</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6</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37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2</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多层住宅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框架，精装修</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6</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0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3</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小高层住宅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框架</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11</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5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4</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小高层住宅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框架，精装修</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11</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0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5</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中高层住宅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框剪</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12</w:t>
            </w:r>
            <w:r>
              <w:rPr>
                <w:rFonts w:ascii="仿宋" w:eastAsia="仿宋" w:hAnsi="仿宋" w:cs="仿宋" w:hint="eastAsia"/>
                <w:color w:val="000000"/>
                <w:kern w:val="0"/>
                <w:sz w:val="24"/>
              </w:rPr>
              <w:t>层以上</w:t>
            </w:r>
            <w:r>
              <w:rPr>
                <w:rFonts w:ascii="仿宋" w:eastAsia="仿宋" w:hAnsi="仿宋" w:cs="仿宋"/>
                <w:color w:val="000000"/>
                <w:kern w:val="0"/>
                <w:sz w:val="24"/>
              </w:rPr>
              <w:t>18</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345"/>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6</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中高层住宅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框剪，精装修</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12</w:t>
            </w:r>
            <w:r>
              <w:rPr>
                <w:rFonts w:ascii="仿宋" w:eastAsia="仿宋" w:hAnsi="仿宋" w:cs="仿宋" w:hint="eastAsia"/>
                <w:color w:val="000000"/>
                <w:kern w:val="0"/>
                <w:sz w:val="24"/>
              </w:rPr>
              <w:t>层以上</w:t>
            </w:r>
            <w:r>
              <w:rPr>
                <w:rFonts w:ascii="仿宋" w:eastAsia="仿宋" w:hAnsi="仿宋" w:cs="仿宋"/>
                <w:color w:val="000000"/>
                <w:kern w:val="0"/>
                <w:sz w:val="24"/>
              </w:rPr>
              <w:t>18</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1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7</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高层住宅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剪力墙</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19</w:t>
            </w:r>
            <w:r>
              <w:rPr>
                <w:rFonts w:ascii="仿宋" w:eastAsia="仿宋" w:hAnsi="仿宋" w:cs="仿宋" w:hint="eastAsia"/>
                <w:color w:val="000000"/>
                <w:kern w:val="0"/>
                <w:sz w:val="24"/>
              </w:rPr>
              <w:t>层以上</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25"/>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8</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高层住宅</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剪力墙，精装修</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19</w:t>
            </w:r>
            <w:r>
              <w:rPr>
                <w:rFonts w:ascii="仿宋" w:eastAsia="仿宋" w:hAnsi="仿宋" w:cs="仿宋" w:hint="eastAsia"/>
                <w:color w:val="000000"/>
                <w:kern w:val="0"/>
                <w:sz w:val="24"/>
              </w:rPr>
              <w:t>层以上</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365"/>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9</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多层、小高层综合楼</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框架</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11</w:t>
            </w:r>
            <w:r>
              <w:rPr>
                <w:rFonts w:ascii="仿宋" w:eastAsia="仿宋" w:hAnsi="仿宋" w:cs="仿宋" w:hint="eastAsia"/>
                <w:color w:val="000000"/>
                <w:kern w:val="0"/>
                <w:sz w:val="24"/>
              </w:rPr>
              <w:t>层（含）以下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1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10</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中高层综合楼</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框剪（筒）</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12</w:t>
            </w:r>
            <w:r>
              <w:rPr>
                <w:rFonts w:ascii="仿宋" w:eastAsia="仿宋" w:hAnsi="仿宋" w:cs="仿宋" w:hint="eastAsia"/>
                <w:color w:val="000000"/>
                <w:kern w:val="0"/>
                <w:sz w:val="24"/>
              </w:rPr>
              <w:t>层以上</w:t>
            </w:r>
            <w:r>
              <w:rPr>
                <w:rFonts w:ascii="仿宋" w:eastAsia="仿宋" w:hAnsi="仿宋" w:cs="仿宋"/>
                <w:color w:val="000000"/>
                <w:kern w:val="0"/>
                <w:sz w:val="24"/>
              </w:rPr>
              <w:t>20</w:t>
            </w:r>
            <w:r>
              <w:rPr>
                <w:rFonts w:ascii="仿宋" w:eastAsia="仿宋" w:hAnsi="仿宋" w:cs="仿宋" w:hint="eastAsia"/>
                <w:color w:val="000000"/>
                <w:kern w:val="0"/>
                <w:sz w:val="24"/>
              </w:rPr>
              <w:t>层以下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39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11</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高层综合楼</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框筒</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20</w:t>
            </w:r>
            <w:r>
              <w:rPr>
                <w:rFonts w:ascii="仿宋" w:eastAsia="仿宋" w:hAnsi="仿宋" w:cs="仿宋" w:hint="eastAsia"/>
                <w:color w:val="000000"/>
                <w:kern w:val="0"/>
                <w:sz w:val="24"/>
              </w:rPr>
              <w:t>层以上</w:t>
            </w:r>
            <w:r>
              <w:rPr>
                <w:rFonts w:ascii="仿宋" w:eastAsia="仿宋" w:hAnsi="仿宋" w:cs="仿宋"/>
                <w:color w:val="000000"/>
                <w:kern w:val="0"/>
                <w:sz w:val="24"/>
              </w:rPr>
              <w:t>28</w:t>
            </w:r>
            <w:r>
              <w:rPr>
                <w:rFonts w:ascii="仿宋" w:eastAsia="仿宋" w:hAnsi="仿宋" w:cs="仿宋" w:hint="eastAsia"/>
                <w:color w:val="000000"/>
                <w:kern w:val="0"/>
                <w:sz w:val="24"/>
              </w:rPr>
              <w:t>层以下</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470"/>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12</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超高层综合楼</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Cs w:val="21"/>
              </w:rPr>
              <w:t>剪力墙（钢结构）</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檐口高度</w:t>
            </w:r>
            <w:r>
              <w:rPr>
                <w:rFonts w:ascii="仿宋" w:eastAsia="仿宋" w:hAnsi="仿宋" w:cs="仿宋"/>
                <w:color w:val="000000"/>
                <w:kern w:val="0"/>
                <w:sz w:val="24"/>
              </w:rPr>
              <w:t>100</w:t>
            </w:r>
            <w:r>
              <w:rPr>
                <w:rFonts w:ascii="仿宋" w:eastAsia="仿宋" w:hAnsi="仿宋" w:cs="仿宋" w:hint="eastAsia"/>
                <w:color w:val="000000"/>
                <w:kern w:val="0"/>
                <w:sz w:val="24"/>
              </w:rPr>
              <w:t>米以上</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905563">
        <w:trPr>
          <w:trHeight w:val="345"/>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13</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工业厂房、仓库</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框架</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w:t>
            </w:r>
            <w:r>
              <w:rPr>
                <w:rFonts w:ascii="仿宋" w:eastAsia="仿宋" w:hAnsi="仿宋" w:cs="仿宋" w:hint="eastAsia"/>
                <w:color w:val="000000"/>
                <w:kern w:val="0"/>
                <w:sz w:val="24"/>
              </w:rPr>
              <w:t>层、</w:t>
            </w:r>
            <w:r>
              <w:rPr>
                <w:rFonts w:ascii="仿宋" w:eastAsia="仿宋" w:hAnsi="仿宋" w:cs="仿宋"/>
                <w:color w:val="000000"/>
                <w:kern w:val="0"/>
                <w:sz w:val="24"/>
              </w:rPr>
              <w:t>2</w:t>
            </w:r>
            <w:r>
              <w:rPr>
                <w:rFonts w:ascii="仿宋" w:eastAsia="仿宋" w:hAnsi="仿宋" w:cs="仿宋" w:hint="eastAsia"/>
                <w:color w:val="000000"/>
                <w:kern w:val="0"/>
                <w:sz w:val="24"/>
              </w:rPr>
              <w:t>层</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r w:rsidR="00AA281E" w:rsidTr="00E30F5C">
        <w:trPr>
          <w:trHeight w:val="405"/>
        </w:trPr>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jc w:val="center"/>
              <w:textAlignment w:val="center"/>
              <w:rPr>
                <w:rFonts w:ascii="仿宋" w:eastAsia="仿宋" w:hAnsi="仿宋" w:cs="仿宋"/>
                <w:color w:val="000000"/>
                <w:sz w:val="24"/>
              </w:rPr>
            </w:pPr>
            <w:r>
              <w:rPr>
                <w:rFonts w:ascii="仿宋" w:eastAsia="仿宋" w:hAnsi="仿宋" w:cs="仿宋"/>
                <w:color w:val="000000"/>
                <w:kern w:val="0"/>
                <w:sz w:val="24"/>
              </w:rPr>
              <w:t>14</w:t>
            </w:r>
          </w:p>
        </w:tc>
        <w:tc>
          <w:tcPr>
            <w:tcW w:w="22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hint="eastAsia"/>
                <w:color w:val="000000"/>
                <w:kern w:val="0"/>
                <w:sz w:val="24"/>
              </w:rPr>
              <w:t>工业厂房、仓库</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w:t>
            </w:r>
            <w:r>
              <w:rPr>
                <w:rFonts w:ascii="仿宋" w:eastAsia="仿宋" w:hAnsi="仿宋" w:cs="仿宋"/>
                <w:color w:val="000000"/>
                <w:kern w:val="0"/>
                <w:sz w:val="18"/>
                <w:szCs w:val="18"/>
              </w:rPr>
              <w:t>2M</w:t>
            </w:r>
            <w:r>
              <w:rPr>
                <w:rFonts w:ascii="仿宋" w:eastAsia="仿宋" w:hAnsi="仿宋" w:cs="仿宋" w:hint="eastAsia"/>
                <w:color w:val="000000"/>
                <w:kern w:val="0"/>
                <w:sz w:val="18"/>
                <w:szCs w:val="18"/>
              </w:rPr>
              <w:t>跨以内钢结构，不含重型吊车梁</w:t>
            </w:r>
          </w:p>
        </w:tc>
        <w:tc>
          <w:tcPr>
            <w:tcW w:w="28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A281E" w:rsidRDefault="00AA281E" w:rsidP="00905563">
            <w:pPr>
              <w:widowControl/>
              <w:spacing w:line="280" w:lineRule="exact"/>
              <w:textAlignment w:val="center"/>
              <w:rPr>
                <w:rFonts w:ascii="仿宋" w:eastAsia="仿宋" w:hAnsi="仿宋" w:cs="仿宋"/>
                <w:color w:val="000000"/>
                <w:sz w:val="24"/>
              </w:rPr>
            </w:pPr>
            <w:r>
              <w:rPr>
                <w:rFonts w:ascii="仿宋" w:eastAsia="仿宋" w:hAnsi="仿宋" w:cs="仿宋"/>
                <w:color w:val="000000"/>
                <w:kern w:val="0"/>
                <w:sz w:val="24"/>
              </w:rPr>
              <w:t>1</w:t>
            </w:r>
            <w:r>
              <w:rPr>
                <w:rFonts w:ascii="仿宋" w:eastAsia="仿宋" w:hAnsi="仿宋" w:cs="仿宋" w:hint="eastAsia"/>
                <w:color w:val="000000"/>
                <w:kern w:val="0"/>
                <w:sz w:val="24"/>
              </w:rPr>
              <w:t>层</w:t>
            </w:r>
          </w:p>
        </w:tc>
        <w:tc>
          <w:tcPr>
            <w:tcW w:w="18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jc w:val="center"/>
              <w:rPr>
                <w:rFonts w:ascii="仿宋" w:eastAsia="仿宋" w:hAnsi="仿宋" w:cs="仿宋"/>
                <w:color w:val="000000"/>
                <w:sz w:val="24"/>
              </w:rPr>
            </w:pPr>
          </w:p>
        </w:tc>
        <w:tc>
          <w:tcPr>
            <w:tcW w:w="48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A281E" w:rsidRDefault="00AA281E" w:rsidP="00905563">
            <w:pPr>
              <w:widowControl/>
              <w:spacing w:line="280" w:lineRule="exact"/>
              <w:rPr>
                <w:rFonts w:ascii="仿宋" w:eastAsia="仿宋" w:hAnsi="仿宋" w:cs="仿宋"/>
                <w:color w:val="000000"/>
                <w:sz w:val="24"/>
              </w:rPr>
            </w:pPr>
          </w:p>
        </w:tc>
      </w:tr>
    </w:tbl>
    <w:p w:rsidR="00AA281E" w:rsidRDefault="00AA281E" w:rsidP="00F36841">
      <w:pPr>
        <w:widowControl/>
        <w:spacing w:line="240" w:lineRule="exact"/>
        <w:jc w:val="left"/>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rPr>
        <w:t>注：</w:t>
      </w:r>
      <w:r>
        <w:rPr>
          <w:rFonts w:ascii="仿宋" w:eastAsia="仿宋" w:hAnsi="仿宋" w:cs="仿宋"/>
          <w:color w:val="000000"/>
          <w:kern w:val="0"/>
          <w:sz w:val="20"/>
          <w:szCs w:val="20"/>
        </w:rPr>
        <w:t>1</w:t>
      </w:r>
      <w:r>
        <w:rPr>
          <w:rFonts w:ascii="仿宋" w:eastAsia="仿宋" w:hAnsi="仿宋" w:cs="仿宋" w:hint="eastAsia"/>
          <w:color w:val="000000"/>
          <w:kern w:val="0"/>
          <w:sz w:val="20"/>
          <w:szCs w:val="20"/>
        </w:rPr>
        <w:t>、测算时应将全部将甲供材计入综合单价，并将地基基础、门窗工程、外墙保温及涂料等以及其它可能另行发包的工程内容部分部分项工程计入造价。</w:t>
      </w:r>
    </w:p>
    <w:p w:rsidR="00AA281E" w:rsidRPr="00F36841" w:rsidRDefault="00AA281E" w:rsidP="00E30F5C">
      <w:pPr>
        <w:widowControl/>
        <w:spacing w:line="240" w:lineRule="exact"/>
        <w:jc w:val="left"/>
        <w:textAlignment w:val="center"/>
        <w:rPr>
          <w:rFonts w:ascii="仿宋_GB2312" w:eastAsia="仿宋_GB2312"/>
          <w:sz w:val="30"/>
          <w:szCs w:val="30"/>
        </w:rPr>
      </w:pPr>
      <w:r>
        <w:rPr>
          <w:rFonts w:ascii="仿宋" w:eastAsia="仿宋" w:hAnsi="仿宋" w:cs="仿宋"/>
          <w:color w:val="000000"/>
          <w:kern w:val="0"/>
          <w:sz w:val="20"/>
          <w:szCs w:val="20"/>
        </w:rPr>
        <w:t>2</w:t>
      </w:r>
      <w:r>
        <w:rPr>
          <w:rFonts w:ascii="仿宋" w:eastAsia="仿宋" w:hAnsi="仿宋" w:cs="仿宋" w:hint="eastAsia"/>
          <w:color w:val="000000"/>
          <w:kern w:val="0"/>
          <w:sz w:val="20"/>
          <w:szCs w:val="20"/>
        </w:rPr>
        <w:t>、对于采取装配式建造方式的，因工程造价与</w:t>
      </w:r>
      <w:r>
        <w:rPr>
          <w:rFonts w:ascii="仿宋" w:eastAsia="仿宋" w:hAnsi="仿宋" w:cs="仿宋"/>
          <w:color w:val="000000"/>
          <w:kern w:val="0"/>
          <w:sz w:val="20"/>
          <w:szCs w:val="20"/>
        </w:rPr>
        <w:t>PC</w:t>
      </w:r>
      <w:r>
        <w:rPr>
          <w:rFonts w:ascii="仿宋" w:eastAsia="仿宋" w:hAnsi="仿宋" w:cs="仿宋" w:hint="eastAsia"/>
          <w:color w:val="000000"/>
          <w:kern w:val="0"/>
          <w:sz w:val="20"/>
          <w:szCs w:val="20"/>
        </w:rPr>
        <w:t>构件生产开模率和装配率有很大关系，且造价差异巨大，本次测算暂不予考虑。如选择的典型工程系装配式建造可在需要特别说明的内容中表述。</w:t>
      </w:r>
      <w:bookmarkEnd w:id="0"/>
    </w:p>
    <w:sectPr w:rsidR="00AA281E" w:rsidRPr="00F36841" w:rsidSect="00E30F5C">
      <w:pgSz w:w="16838" w:h="11906" w:orient="landscape"/>
      <w:pgMar w:top="1230" w:right="1440" w:bottom="123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81E" w:rsidRDefault="00AA281E" w:rsidP="005C18DF">
      <w:r>
        <w:separator/>
      </w:r>
    </w:p>
  </w:endnote>
  <w:endnote w:type="continuationSeparator" w:id="0">
    <w:p w:rsidR="00AA281E" w:rsidRDefault="00AA281E" w:rsidP="005C18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81E" w:rsidRDefault="00AA281E" w:rsidP="005C18DF">
      <w:r>
        <w:separator/>
      </w:r>
    </w:p>
  </w:footnote>
  <w:footnote w:type="continuationSeparator" w:id="0">
    <w:p w:rsidR="00AA281E" w:rsidRDefault="00AA281E" w:rsidP="005C18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299C"/>
    <w:multiLevelType w:val="singleLevel"/>
    <w:tmpl w:val="28DB299C"/>
    <w:lvl w:ilvl="0">
      <w:start w:val="1"/>
      <w:numFmt w:val="chineseCounting"/>
      <w:suff w:val="nothing"/>
      <w:lvlText w:val="%1、"/>
      <w:lvlJc w:val="left"/>
      <w:rPr>
        <w:rFonts w:cs="Times New Roman" w:hint="eastAsia"/>
      </w:rPr>
    </w:lvl>
  </w:abstractNum>
  <w:abstractNum w:abstractNumId="1">
    <w:nsid w:val="784EC28B"/>
    <w:multiLevelType w:val="singleLevel"/>
    <w:tmpl w:val="784EC28B"/>
    <w:lvl w:ilvl="0">
      <w:start w:val="2"/>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38E"/>
    <w:rsid w:val="00010AE1"/>
    <w:rsid w:val="0004451A"/>
    <w:rsid w:val="00052647"/>
    <w:rsid w:val="000658E0"/>
    <w:rsid w:val="001845D5"/>
    <w:rsid w:val="002806E2"/>
    <w:rsid w:val="00282182"/>
    <w:rsid w:val="002D63C1"/>
    <w:rsid w:val="00343CF4"/>
    <w:rsid w:val="003F1C98"/>
    <w:rsid w:val="003F43D0"/>
    <w:rsid w:val="00451265"/>
    <w:rsid w:val="00506D20"/>
    <w:rsid w:val="00516480"/>
    <w:rsid w:val="0051685C"/>
    <w:rsid w:val="00592037"/>
    <w:rsid w:val="005C18DF"/>
    <w:rsid w:val="00610F90"/>
    <w:rsid w:val="00682864"/>
    <w:rsid w:val="007013AF"/>
    <w:rsid w:val="00710C87"/>
    <w:rsid w:val="00716023"/>
    <w:rsid w:val="00747F78"/>
    <w:rsid w:val="007962F0"/>
    <w:rsid w:val="007A23FC"/>
    <w:rsid w:val="007E4CD2"/>
    <w:rsid w:val="007F6ABB"/>
    <w:rsid w:val="00862945"/>
    <w:rsid w:val="00873067"/>
    <w:rsid w:val="00886FE4"/>
    <w:rsid w:val="00905563"/>
    <w:rsid w:val="00961176"/>
    <w:rsid w:val="00A73A4A"/>
    <w:rsid w:val="00A84C78"/>
    <w:rsid w:val="00AA281E"/>
    <w:rsid w:val="00B67EC8"/>
    <w:rsid w:val="00B760EA"/>
    <w:rsid w:val="00BA6154"/>
    <w:rsid w:val="00BB3BCF"/>
    <w:rsid w:val="00C261A1"/>
    <w:rsid w:val="00C6138E"/>
    <w:rsid w:val="00C95639"/>
    <w:rsid w:val="00CE29A8"/>
    <w:rsid w:val="00CF4B32"/>
    <w:rsid w:val="00CF6FDF"/>
    <w:rsid w:val="00D24248"/>
    <w:rsid w:val="00D347AA"/>
    <w:rsid w:val="00DA4B6F"/>
    <w:rsid w:val="00E01313"/>
    <w:rsid w:val="00E30F5C"/>
    <w:rsid w:val="00E42872"/>
    <w:rsid w:val="00EA7A59"/>
    <w:rsid w:val="00F0731B"/>
    <w:rsid w:val="00F345AD"/>
    <w:rsid w:val="00F36841"/>
    <w:rsid w:val="00F678F8"/>
    <w:rsid w:val="00F77E44"/>
    <w:rsid w:val="00F87CA9"/>
    <w:rsid w:val="00FA09F0"/>
    <w:rsid w:val="00FA14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7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18D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C18DF"/>
    <w:rPr>
      <w:rFonts w:cs="Times New Roman"/>
      <w:kern w:val="2"/>
      <w:sz w:val="18"/>
      <w:szCs w:val="18"/>
    </w:rPr>
  </w:style>
  <w:style w:type="paragraph" w:styleId="Footer">
    <w:name w:val="footer"/>
    <w:basedOn w:val="Normal"/>
    <w:link w:val="FooterChar"/>
    <w:uiPriority w:val="99"/>
    <w:rsid w:val="005C18D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C18DF"/>
    <w:rPr>
      <w:rFonts w:cs="Times New Roman"/>
      <w:kern w:val="2"/>
      <w:sz w:val="18"/>
      <w:szCs w:val="18"/>
    </w:rPr>
  </w:style>
  <w:style w:type="paragraph" w:styleId="NormalWeb">
    <w:name w:val="Normal (Web)"/>
    <w:basedOn w:val="Normal"/>
    <w:uiPriority w:val="99"/>
    <w:rsid w:val="005C18DF"/>
    <w:pPr>
      <w:widowControl/>
      <w:spacing w:before="100" w:beforeAutospacing="1" w:after="100" w:afterAutospacing="1"/>
      <w:jc w:val="left"/>
    </w:pPr>
    <w:rPr>
      <w:rFonts w:ascii="宋体" w:hAnsi="宋体" w:cs="宋体"/>
      <w:kern w:val="0"/>
      <w:sz w:val="24"/>
    </w:rPr>
  </w:style>
  <w:style w:type="character" w:styleId="Strong">
    <w:name w:val="Strong"/>
    <w:basedOn w:val="DefaultParagraphFont"/>
    <w:uiPriority w:val="99"/>
    <w:qFormat/>
    <w:rsid w:val="00C261A1"/>
    <w:rPr>
      <w:rFonts w:cs="Times New Roman"/>
      <w:b/>
    </w:rPr>
  </w:style>
  <w:style w:type="character" w:customStyle="1" w:styleId="font41">
    <w:name w:val="font41"/>
    <w:basedOn w:val="DefaultParagraphFont"/>
    <w:uiPriority w:val="99"/>
    <w:rsid w:val="00F36841"/>
    <w:rPr>
      <w:rFonts w:ascii="仿宋" w:eastAsia="仿宋" w:hAnsi="仿宋" w:cs="仿宋"/>
      <w:color w:val="000000"/>
      <w:sz w:val="24"/>
      <w:szCs w:val="24"/>
      <w:u w:val="none"/>
    </w:rPr>
  </w:style>
  <w:style w:type="character" w:customStyle="1" w:styleId="font81">
    <w:name w:val="font81"/>
    <w:basedOn w:val="DefaultParagraphFont"/>
    <w:uiPriority w:val="99"/>
    <w:rsid w:val="00F36841"/>
    <w:rPr>
      <w:rFonts w:ascii="仿宋" w:eastAsia="仿宋" w:hAnsi="仿宋" w:cs="仿宋"/>
      <w:color w:val="000000"/>
      <w:sz w:val="24"/>
      <w:szCs w:val="24"/>
      <w:u w:val="none"/>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98</Words>
  <Characters>562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关于转发《关于做好2018年江苏省工程造价咨询</dc:title>
  <dc:subject/>
  <dc:creator>AutoBVT</dc:creator>
  <cp:keywords/>
  <dc:description/>
  <cp:lastModifiedBy>User</cp:lastModifiedBy>
  <cp:revision>3</cp:revision>
  <cp:lastPrinted>2019-10-15T01:44:00Z</cp:lastPrinted>
  <dcterms:created xsi:type="dcterms:W3CDTF">2019-10-15T02:01:00Z</dcterms:created>
  <dcterms:modified xsi:type="dcterms:W3CDTF">2019-10-15T02:02:00Z</dcterms:modified>
</cp:coreProperties>
</file>