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2D" w:rsidRDefault="00522E6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长三角区域三省一市主要建筑材料价格及指数</w:t>
      </w:r>
    </w:p>
    <w:p w:rsidR="00275B2D" w:rsidRPr="00AE4096" w:rsidRDefault="00275B2D">
      <w:pPr>
        <w:spacing w:line="360" w:lineRule="auto"/>
        <w:jc w:val="center"/>
        <w:rPr>
          <w:rFonts w:ascii="华文中宋" w:eastAsia="华文中宋" w:hAnsi="华文中宋"/>
          <w:sz w:val="10"/>
          <w:szCs w:val="10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634D98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402731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季度主要建筑材料价格</w:t>
      </w:r>
    </w:p>
    <w:tbl>
      <w:tblPr>
        <w:tblpPr w:leftFromText="180" w:rightFromText="180" w:vertAnchor="text" w:horzAnchor="page" w:tblpX="1739" w:tblpY="70"/>
        <w:tblOverlap w:val="never"/>
        <w:tblW w:w="85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:rsidR="00AE4096" w:rsidTr="00605E43">
        <w:trPr>
          <w:trHeight w:val="42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:rsidR="00AE4096" w:rsidTr="00605E43">
        <w:trPr>
          <w:trHeight w:val="128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AE4096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472</w:t>
            </w:r>
          </w:p>
        </w:tc>
      </w:tr>
      <w:tr w:rsidR="00AE4096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466</w:t>
            </w:r>
          </w:p>
        </w:tc>
      </w:tr>
      <w:tr w:rsidR="00AE4096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545</w:t>
            </w:r>
          </w:p>
        </w:tc>
      </w:tr>
      <w:tr w:rsidR="00AE4096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619</w:t>
            </w:r>
          </w:p>
        </w:tc>
      </w:tr>
      <w:tr w:rsidR="00AE4096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AE409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096" w:rsidRDefault="00605E43" w:rsidP="00605E43">
            <w:pPr>
              <w:jc w:val="lef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526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注：1.主要建材材料价格均为含税价；</w:t>
      </w:r>
    </w:p>
    <w:p w:rsidR="00AE4096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2.每季度发布一次，选取各代表城市当季最后一个月发布的材料价格，此次发布内容为202</w:t>
      </w:r>
      <w:r w:rsidR="00634D98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AE4096">
        <w:rPr>
          <w:rFonts w:ascii="仿宋" w:eastAsia="仿宋" w:hAnsi="仿宋" w:cs="仿宋" w:hint="eastAsia"/>
          <w:szCs w:val="21"/>
        </w:rPr>
        <w:t>9</w:t>
      </w:r>
      <w:r>
        <w:rPr>
          <w:rFonts w:ascii="仿宋" w:eastAsia="仿宋" w:hAnsi="仿宋" w:cs="仿宋" w:hint="eastAsia"/>
          <w:szCs w:val="21"/>
        </w:rPr>
        <w:t>月份材料价格。</w:t>
      </w:r>
    </w:p>
    <w:p w:rsidR="00275B2D" w:rsidRDefault="00AE4096" w:rsidP="00AE4096">
      <w:pPr>
        <w:snapToGrid w:val="0"/>
        <w:spacing w:line="360" w:lineRule="auto"/>
        <w:ind w:rightChars="-24" w:right="-50"/>
        <w:rPr>
          <w:rFonts w:ascii="仿宋" w:eastAsia="仿宋" w:hAnsi="仿宋" w:cs="仿宋"/>
          <w:szCs w:val="21"/>
        </w:rPr>
      </w:pPr>
      <w:r w:rsidRPr="00AE4096">
        <w:rPr>
          <w:rFonts w:ascii="仿宋" w:eastAsia="仿宋" w:hAnsi="仿宋" w:cs="仿宋"/>
          <w:noProof/>
          <w:szCs w:val="21"/>
        </w:rPr>
        <w:drawing>
          <wp:inline distT="0" distB="0" distL="0" distR="0">
            <wp:extent cx="5287069" cy="4774019"/>
            <wp:effectExtent l="19050" t="0" r="27881" b="7531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AE4096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AE4096">
        <w:rPr>
          <w:rFonts w:ascii="仿宋" w:eastAsia="仿宋" w:hAnsi="仿宋" w:cs="仿宋"/>
          <w:noProof/>
          <w:szCs w:val="21"/>
        </w:rPr>
        <w:lastRenderedPageBreak/>
        <w:drawing>
          <wp:inline distT="0" distB="0" distL="0" distR="0">
            <wp:extent cx="5287069" cy="4720856"/>
            <wp:effectExtent l="19050" t="0" r="27881" b="3544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44A2" w:rsidRDefault="007744A2">
      <w:pPr>
        <w:snapToGrid w:val="0"/>
        <w:spacing w:line="360" w:lineRule="auto"/>
        <w:rPr>
          <w:rFonts w:ascii="仿宋" w:eastAsia="仿宋" w:hAnsi="仿宋" w:cs="仿宋"/>
          <w:szCs w:val="21"/>
        </w:rPr>
      </w:pPr>
    </w:p>
    <w:p w:rsidR="00275B2D" w:rsidRDefault="007744A2">
      <w:pPr>
        <w:snapToGrid w:val="0"/>
        <w:spacing w:line="360" w:lineRule="auto"/>
      </w:pPr>
      <w:r w:rsidRPr="007744A2">
        <w:rPr>
          <w:noProof/>
        </w:rPr>
        <w:drawing>
          <wp:inline distT="0" distB="0" distL="0" distR="0">
            <wp:extent cx="5279449" cy="4079093"/>
            <wp:effectExtent l="19050" t="0" r="16451" b="0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0310" w:rsidRDefault="007744A2">
      <w:pPr>
        <w:snapToGrid w:val="0"/>
        <w:spacing w:line="360" w:lineRule="auto"/>
      </w:pPr>
      <w:r w:rsidRPr="007744A2">
        <w:rPr>
          <w:noProof/>
        </w:rPr>
        <w:lastRenderedPageBreak/>
        <w:drawing>
          <wp:inline distT="0" distB="0" distL="0" distR="0">
            <wp:extent cx="5281354" cy="3700130"/>
            <wp:effectExtent l="19050" t="0" r="14546" b="0"/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5B35" w:rsidRDefault="00D55B35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长三角区域主要建筑材料价格指数</w:t>
      </w:r>
    </w:p>
    <w:p w:rsidR="00275B2D" w:rsidRDefault="007744A2">
      <w:r w:rsidRPr="007744A2">
        <w:rPr>
          <w:noProof/>
        </w:rPr>
        <w:drawing>
          <wp:inline distT="0" distB="0" distL="0" distR="0">
            <wp:extent cx="5281354" cy="4508204"/>
            <wp:effectExtent l="19050" t="0" r="14546" b="6646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7744A2">
        <w:rPr>
          <w:noProof/>
        </w:rPr>
        <w:lastRenderedPageBreak/>
        <w:drawing>
          <wp:inline distT="0" distB="0" distL="0" distR="0">
            <wp:extent cx="5283259" cy="4061637"/>
            <wp:effectExtent l="19050" t="0" r="12641" b="0"/>
            <wp:docPr id="15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5B35" w:rsidRDefault="007744A2">
      <w:r w:rsidRPr="007744A2">
        <w:rPr>
          <w:noProof/>
        </w:rPr>
        <w:drawing>
          <wp:inline distT="0" distB="0" distL="0" distR="0">
            <wp:extent cx="5279449" cy="4954772"/>
            <wp:effectExtent l="19050" t="0" r="16451" b="0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5B2D" w:rsidRDefault="007744A2">
      <w:pPr>
        <w:rPr>
          <w:rFonts w:ascii="仿宋" w:eastAsia="仿宋" w:hAnsi="仿宋"/>
          <w:sz w:val="28"/>
          <w:szCs w:val="28"/>
        </w:rPr>
      </w:pPr>
      <w:r w:rsidRPr="007744A2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85164" cy="4625163"/>
            <wp:effectExtent l="19050" t="0" r="10736" b="3987"/>
            <wp:docPr id="17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D73B2" w:rsidRDefault="007744A2">
      <w:r w:rsidRPr="007744A2">
        <w:rPr>
          <w:noProof/>
        </w:rPr>
        <w:drawing>
          <wp:inline distT="0" distB="0" distL="0" distR="0">
            <wp:extent cx="5281354" cy="4391246"/>
            <wp:effectExtent l="19050" t="0" r="14546" b="9304"/>
            <wp:docPr id="18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24D" w:rsidRDefault="0030724D" w:rsidP="00045996">
      <w:r>
        <w:separator/>
      </w:r>
    </w:p>
  </w:endnote>
  <w:endnote w:type="continuationSeparator" w:id="1">
    <w:p w:rsidR="0030724D" w:rsidRDefault="0030724D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24D" w:rsidRDefault="0030724D" w:rsidP="00045996">
      <w:r>
        <w:separator/>
      </w:r>
    </w:p>
  </w:footnote>
  <w:footnote w:type="continuationSeparator" w:id="1">
    <w:p w:rsidR="0030724D" w:rsidRDefault="0030724D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2A97"/>
    <w:rsid w:val="00C63138"/>
    <w:rsid w:val="00C9266F"/>
    <w:rsid w:val="00CA12F6"/>
    <w:rsid w:val="00CA2000"/>
    <w:rsid w:val="00CB369D"/>
    <w:rsid w:val="00CB7700"/>
    <w:rsid w:val="00CC5F15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3&#23395;&#24230;\&#22270;&#34920;&#12289;&#26609;&#24418;&#22270;&#12289;&#25351;&#25968;&#22270;&#27979;&#31639;&#34920;&#8212;&#8212;&#27719;&#24635;&#20570;&#26609;&#22411;&#22270;&#12289;&#25351;&#25968;2023.12.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rich>
      </c:tx>
      <c:layout>
        <c:manualLayout>
          <c:xMode val="edge"/>
          <c:yMode val="edge"/>
          <c:x val="0.42288488210818603"/>
          <c:y val="9.183673469387758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'制作图表-钢材价格'!$D$4:$E$4</c:f>
              <c:numCache>
                <c:formatCode>General</c:formatCode>
                <c:ptCount val="2"/>
                <c:pt idx="0">
                  <c:v>4351</c:v>
                </c:pt>
                <c:pt idx="1">
                  <c:v>4057</c:v>
                </c:pt>
              </c:numCache>
            </c:numRef>
          </c:val>
        </c:ser>
        <c:ser>
          <c:idx val="1"/>
          <c:order val="1"/>
          <c:tx>
            <c:strRef>
              <c:f>'制作图表-钢材价格'!$C$5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'制作图表-钢材价格'!$D$5:$E$5</c:f>
              <c:numCache>
                <c:formatCode>General</c:formatCode>
                <c:ptCount val="2"/>
                <c:pt idx="0">
                  <c:v>4165</c:v>
                </c:pt>
                <c:pt idx="1">
                  <c:v>4124</c:v>
                </c:pt>
              </c:numCache>
            </c:numRef>
          </c:val>
        </c:ser>
        <c:ser>
          <c:idx val="2"/>
          <c:order val="2"/>
          <c:tx>
            <c:strRef>
              <c:f>'制作图表-钢材价格'!$C$6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'制作图表-钢材价格'!$D$6:$E$6</c:f>
              <c:numCache>
                <c:formatCode>General</c:formatCode>
                <c:ptCount val="2"/>
                <c:pt idx="0">
                  <c:v>4210</c:v>
                </c:pt>
                <c:pt idx="1">
                  <c:v>3915</c:v>
                </c:pt>
              </c:numCache>
            </c:numRef>
          </c:val>
        </c:ser>
        <c:ser>
          <c:idx val="3"/>
          <c:order val="3"/>
          <c:tx>
            <c:strRef>
              <c:f>'制作图表-钢材价格'!$C$7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'制作图表-钢材价格'!$D$7:$E$7</c:f>
              <c:numCache>
                <c:formatCode>General</c:formatCode>
                <c:ptCount val="2"/>
                <c:pt idx="0">
                  <c:v>4460</c:v>
                </c:pt>
                <c:pt idx="1">
                  <c:v>4025</c:v>
                </c:pt>
              </c:numCache>
            </c:numRef>
          </c:val>
        </c:ser>
        <c:ser>
          <c:idx val="4"/>
          <c:order val="4"/>
          <c:tx>
            <c:strRef>
              <c:f>'制作图表-钢材价格'!$C$8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'制作图表-钢材价格'!$D$8:$E$8</c:f>
              <c:numCache>
                <c:formatCode>0_ </c:formatCode>
                <c:ptCount val="2"/>
                <c:pt idx="0" formatCode="0;_퐀">
                  <c:v>4296.5</c:v>
                </c:pt>
                <c:pt idx="1">
                  <c:v>4030.25</c:v>
                </c:pt>
              </c:numCache>
            </c:numRef>
          </c:val>
        </c:ser>
        <c:gapWidth val="219"/>
        <c:overlap val="-27"/>
        <c:axId val="128452480"/>
        <c:axId val="128454016"/>
      </c:barChart>
      <c:catAx>
        <c:axId val="128452480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454016"/>
        <c:crosses val="autoZero"/>
        <c:auto val="1"/>
        <c:lblAlgn val="ctr"/>
        <c:lblOffset val="100"/>
      </c:catAx>
      <c:valAx>
        <c:axId val="128454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45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0603878116343519"/>
          <c:y val="0.17745130406074641"/>
          <c:w val="0.86349030470914101"/>
          <c:h val="0.66761307362166156"/>
        </c:manualLayout>
      </c:layout>
      <c:barChart>
        <c:barDir val="col"/>
        <c:grouping val="clustered"/>
        <c:ser>
          <c:idx val="0"/>
          <c:order val="0"/>
          <c:tx>
            <c:strRef>
              <c:f>'制作图表-水泥价格'!$C$3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'制作图表-水泥价格'!$D$3</c:f>
              <c:numCache>
                <c:formatCode>0_);[Red]\(0\)</c:formatCode>
                <c:ptCount val="1"/>
                <c:pt idx="0">
                  <c:v>360</c:v>
                </c:pt>
              </c:numCache>
            </c:numRef>
          </c:val>
        </c:ser>
        <c:ser>
          <c:idx val="1"/>
          <c:order val="1"/>
          <c:tx>
            <c:strRef>
              <c:f>'制作图表-水泥价格'!$C$4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'制作图表-水泥价格'!$D$4</c:f>
              <c:numCache>
                <c:formatCode>0_);[Red]\(0\)</c:formatCode>
                <c:ptCount val="1"/>
                <c:pt idx="0">
                  <c:v>443</c:v>
                </c:pt>
              </c:numCache>
            </c:numRef>
          </c:val>
        </c:ser>
        <c:ser>
          <c:idx val="2"/>
          <c:order val="2"/>
          <c:tx>
            <c:strRef>
              <c:f>'制作图表-水泥价格'!$C$5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'制作图表-水泥价格'!$D$5</c:f>
              <c:numCache>
                <c:formatCode>0_);[Red]\(0\)</c:formatCode>
                <c:ptCount val="1"/>
                <c:pt idx="0">
                  <c:v>380</c:v>
                </c:pt>
              </c:numCache>
            </c:numRef>
          </c:val>
        </c:ser>
        <c:ser>
          <c:idx val="3"/>
          <c:order val="3"/>
          <c:tx>
            <c:strRef>
              <c:f>'制作图表-水泥价格'!$C$6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'制作图表-水泥价格'!$D$6</c:f>
              <c:numCache>
                <c:formatCode>0_);[Red]\(0\)</c:formatCode>
                <c:ptCount val="1"/>
                <c:pt idx="0">
                  <c:v>430</c:v>
                </c:pt>
              </c:numCache>
            </c:numRef>
          </c:val>
        </c:ser>
        <c:ser>
          <c:idx val="4"/>
          <c:order val="4"/>
          <c:tx>
            <c:strRef>
              <c:f>'制作图表-水泥价格'!$C$7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'制作图表-水泥价格'!$D$7</c:f>
              <c:numCache>
                <c:formatCode>0_);[Red]\(0\)</c:formatCode>
                <c:ptCount val="1"/>
                <c:pt idx="0">
                  <c:v>403.25</c:v>
                </c:pt>
              </c:numCache>
            </c:numRef>
          </c:val>
        </c:ser>
        <c:gapWidth val="219"/>
        <c:overlap val="-27"/>
        <c:axId val="128489728"/>
        <c:axId val="128495616"/>
      </c:barChart>
      <c:catAx>
        <c:axId val="12848972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495616"/>
        <c:crosses val="autoZero"/>
        <c:auto val="1"/>
        <c:lblAlgn val="ctr"/>
        <c:lblOffset val="100"/>
      </c:catAx>
      <c:valAx>
        <c:axId val="128495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489728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砌块价格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'制作图表-砌块价格'!$D$3</c:f>
              <c:numCache>
                <c:formatCode>General</c:formatCode>
                <c:ptCount val="1"/>
                <c:pt idx="0">
                  <c:v>305</c:v>
                </c:pt>
              </c:numCache>
            </c:numRef>
          </c:val>
        </c:ser>
        <c:ser>
          <c:idx val="1"/>
          <c:order val="1"/>
          <c:tx>
            <c:strRef>
              <c:f>'制作图表-砌块价格'!$C$4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'制作图表-砌块价格'!$D$4</c:f>
              <c:numCache>
                <c:formatCode>General</c:formatCode>
                <c:ptCount val="1"/>
                <c:pt idx="0">
                  <c:v>415</c:v>
                </c:pt>
              </c:numCache>
            </c:numRef>
          </c:val>
        </c:ser>
        <c:ser>
          <c:idx val="2"/>
          <c:order val="2"/>
          <c:tx>
            <c:strRef>
              <c:f>'制作图表-砌块价格'!$C$5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'制作图表-砌块价格'!$D$5</c:f>
              <c:numCache>
                <c:formatCode>General</c:formatCode>
                <c:ptCount val="1"/>
                <c:pt idx="0">
                  <c:v>388</c:v>
                </c:pt>
              </c:numCache>
            </c:numRef>
          </c:val>
        </c:ser>
        <c:ser>
          <c:idx val="3"/>
          <c:order val="3"/>
          <c:tx>
            <c:strRef>
              <c:f>'制作图表-砌块价格'!$C$6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'制作图表-砌块价格'!$D$6</c:f>
              <c:numCache>
                <c:formatCode>General</c:formatCode>
                <c:ptCount val="1"/>
                <c:pt idx="0">
                  <c:v>501</c:v>
                </c:pt>
              </c:numCache>
            </c:numRef>
          </c:val>
        </c:ser>
        <c:ser>
          <c:idx val="4"/>
          <c:order val="4"/>
          <c:tx>
            <c:strRef>
              <c:f>'制作图表-砌块价格'!$C$7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'制作图表-砌块价格'!$D$7</c:f>
              <c:numCache>
                <c:formatCode>0_ </c:formatCode>
                <c:ptCount val="1"/>
                <c:pt idx="0">
                  <c:v>402.25</c:v>
                </c:pt>
              </c:numCache>
            </c:numRef>
          </c:val>
        </c:ser>
        <c:gapWidth val="219"/>
        <c:overlap val="-27"/>
        <c:axId val="128514688"/>
        <c:axId val="128520576"/>
      </c:barChart>
      <c:catAx>
        <c:axId val="12851468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520576"/>
        <c:crosses val="autoZero"/>
        <c:auto val="1"/>
        <c:lblAlgn val="ctr"/>
        <c:lblOffset val="100"/>
      </c:catAx>
      <c:valAx>
        <c:axId val="1285205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51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1"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混凝土价格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'!$D$3</c:f>
              <c:numCache>
                <c:formatCode>General</c:formatCode>
                <c:ptCount val="1"/>
                <c:pt idx="0">
                  <c:v>472</c:v>
                </c:pt>
              </c:numCache>
            </c:numRef>
          </c:val>
        </c:ser>
        <c:ser>
          <c:idx val="1"/>
          <c:order val="1"/>
          <c:tx>
            <c:strRef>
              <c:f>'制作图表-混凝土价格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'!$D$4</c:f>
              <c:numCache>
                <c:formatCode>General</c:formatCode>
                <c:ptCount val="1"/>
                <c:pt idx="0">
                  <c:v>466</c:v>
                </c:pt>
              </c:numCache>
            </c:numRef>
          </c:val>
        </c:ser>
        <c:ser>
          <c:idx val="2"/>
          <c:order val="2"/>
          <c:tx>
            <c:strRef>
              <c:f>'制作图表-混凝土价格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'!$D$5</c:f>
              <c:numCache>
                <c:formatCode>General</c:formatCode>
                <c:ptCount val="1"/>
                <c:pt idx="0">
                  <c:v>545</c:v>
                </c:pt>
              </c:numCache>
            </c:numRef>
          </c:val>
        </c:ser>
        <c:ser>
          <c:idx val="3"/>
          <c:order val="3"/>
          <c:tx>
            <c:strRef>
              <c:f>'制作图表-混凝土价格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'!$D$6</c:f>
              <c:numCache>
                <c:formatCode>General</c:formatCode>
                <c:ptCount val="1"/>
                <c:pt idx="0">
                  <c:v>619</c:v>
                </c:pt>
              </c:numCache>
            </c:numRef>
          </c:val>
        </c:ser>
        <c:ser>
          <c:idx val="4"/>
          <c:order val="4"/>
          <c:tx>
            <c:strRef>
              <c:f>'制作图表-混凝土价格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'!$D$7</c:f>
              <c:numCache>
                <c:formatCode>0_ </c:formatCode>
                <c:ptCount val="1"/>
                <c:pt idx="0">
                  <c:v>525.5</c:v>
                </c:pt>
              </c:numCache>
            </c:numRef>
          </c:val>
        </c:ser>
        <c:gapWidth val="219"/>
        <c:overlap val="-27"/>
        <c:axId val="128539648"/>
        <c:axId val="128549632"/>
      </c:barChart>
      <c:catAx>
        <c:axId val="12853964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549632"/>
        <c:crosses val="autoZero"/>
        <c:auto val="1"/>
        <c:lblAlgn val="ctr"/>
        <c:lblOffset val="100"/>
      </c:catAx>
      <c:valAx>
        <c:axId val="128549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53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</c:title>
    <c:plotArea>
      <c:layout/>
      <c:lineChart>
        <c:grouping val="stacked"/>
        <c:ser>
          <c:idx val="0"/>
          <c:order val="0"/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('热轧光圆钢筋 HPB300 Φ8mm指数2023.12'!$B$16:$AB$16,'热轧光圆钢筋 HPB300 Φ8mm指数2023.12'!$AC$16)</c:f>
              <c:strCache>
                <c:ptCount val="28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</c:strCache>
            </c:strRef>
          </c:cat>
          <c:val>
            <c:numRef>
              <c:f>('热轧光圆钢筋 HPB300 Φ8mm指数2023.12'!$B$17:$AB$17,'热轧光圆钢筋 HPB300 Φ8mm指数2023.12'!$AC$17)</c:f>
              <c:numCache>
                <c:formatCode>0.000_ </c:formatCode>
                <c:ptCount val="28"/>
                <c:pt idx="0">
                  <c:v>1</c:v>
                </c:pt>
                <c:pt idx="1">
                  <c:v>1.1339999999999992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1.2369999999999994</c:v>
                </c:pt>
                <c:pt idx="6">
                  <c:v>1.2869999999999993</c:v>
                </c:pt>
                <c:pt idx="7">
                  <c:v>1.3720000000000001</c:v>
                </c:pt>
                <c:pt idx="8">
                  <c:v>1.206</c:v>
                </c:pt>
                <c:pt idx="9">
                  <c:v>1.2109999999999994</c:v>
                </c:pt>
                <c:pt idx="10">
                  <c:v>1.2369999999999994</c:v>
                </c:pt>
                <c:pt idx="11">
                  <c:v>1.1830000000000001</c:v>
                </c:pt>
                <c:pt idx="12">
                  <c:v>1.2349999999999994</c:v>
                </c:pt>
                <c:pt idx="13">
                  <c:v>1.1120000000000001</c:v>
                </c:pt>
                <c:pt idx="14">
                  <c:v>1.1459999999999992</c:v>
                </c:pt>
                <c:pt idx="15">
                  <c:v>1.2</c:v>
                </c:pt>
                <c:pt idx="16">
                  <c:v>1.3420000000000001</c:v>
                </c:pt>
                <c:pt idx="17">
                  <c:v>1.4249999999999994</c:v>
                </c:pt>
                <c:pt idx="18">
                  <c:v>1.6140000000000001</c:v>
                </c:pt>
                <c:pt idx="19">
                  <c:v>1.6850000000000001</c:v>
                </c:pt>
                <c:pt idx="20" formatCode="General">
                  <c:v>1.4829999999999994</c:v>
                </c:pt>
                <c:pt idx="21" formatCode="General">
                  <c:v>1.486</c:v>
                </c:pt>
                <c:pt idx="22" formatCode="General">
                  <c:v>1.446</c:v>
                </c:pt>
                <c:pt idx="23">
                  <c:v>1.2678964757709243</c:v>
                </c:pt>
                <c:pt idx="24">
                  <c:v>1.2513766519823792</c:v>
                </c:pt>
                <c:pt idx="25">
                  <c:v>1.3279185022026432</c:v>
                </c:pt>
                <c:pt idx="26">
                  <c:v>1.1646475770925118</c:v>
                </c:pt>
                <c:pt idx="27">
                  <c:v>1.1830947136563876</c:v>
                </c:pt>
              </c:numCache>
            </c:numRef>
          </c:val>
        </c:ser>
        <c:marker val="1"/>
        <c:axId val="128556416"/>
        <c:axId val="128574592"/>
      </c:lineChart>
      <c:catAx>
        <c:axId val="128556416"/>
        <c:scaling>
          <c:orientation val="minMax"/>
        </c:scaling>
        <c:axPos val="b"/>
        <c:tickLblPos val="nextTo"/>
        <c:crossAx val="128574592"/>
        <c:crosses val="autoZero"/>
        <c:auto val="1"/>
        <c:lblAlgn val="ctr"/>
        <c:lblOffset val="100"/>
      </c:catAx>
      <c:valAx>
        <c:axId val="128574592"/>
        <c:scaling>
          <c:orientation val="minMax"/>
          <c:max val="1.8"/>
          <c:min val="1"/>
        </c:scaling>
        <c:axPos val="l"/>
        <c:majorGridlines/>
        <c:numFmt formatCode="0%" sourceLinked="0"/>
        <c:tickLblPos val="nextTo"/>
        <c:crossAx val="128556416"/>
        <c:crosses val="autoZero"/>
        <c:crossBetween val="between"/>
        <c:majorUnit val="0.1"/>
        <c:minorUnit val="0.05"/>
      </c:valAx>
    </c:plotArea>
    <c:plotVisOnly val="1"/>
  </c:chart>
  <c:spPr>
    <a:ln w="6350"/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'热轧带肋钢筋（HRB400）Φ25指数2023.12'!$A$18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热轧带肋钢筋（HRB400）Φ25指数2023.12'!$B$17:$X$17,'热轧带肋钢筋（HRB400）Φ25指数2023.12'!$Y$17,'热轧带肋钢筋（HRB400）Φ25指数2023.12'!$Z$17:$AA$17,'热轧带肋钢筋（HRB400）Φ25指数2023.12'!$AB$17,'热轧带肋钢筋（HRB400）Φ25指数2023.12'!$AC$17)</c:f>
              <c:strCache>
                <c:ptCount val="28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</c:strCache>
            </c:strRef>
          </c:cat>
          <c:val>
            <c:numRef>
              <c:f>('热轧带肋钢筋（HRB400）Φ25指数2023.12'!$B$18:$X$18,'热轧带肋钢筋（HRB400）Φ25指数2023.12'!$Y$18,'热轧带肋钢筋（HRB400）Φ25指数2023.12'!$Z$18:$AA$18,'热轧带肋钢筋（HRB400）Φ25指数2023.12'!$AB$18,'热轧带肋钢筋（HRB400）Φ25指数2023.12'!$AC$18)</c:f>
              <c:numCache>
                <c:formatCode>0.000_ </c:formatCode>
                <c:ptCount val="28"/>
                <c:pt idx="0">
                  <c:v>1</c:v>
                </c:pt>
                <c:pt idx="1">
                  <c:v>1.155</c:v>
                </c:pt>
                <c:pt idx="2">
                  <c:v>1.1459999999999992</c:v>
                </c:pt>
                <c:pt idx="3">
                  <c:v>1.3029999999999993</c:v>
                </c:pt>
                <c:pt idx="4">
                  <c:v>1.496</c:v>
                </c:pt>
                <c:pt idx="5">
                  <c:v>1.266</c:v>
                </c:pt>
                <c:pt idx="6">
                  <c:v>1.2829999999999993</c:v>
                </c:pt>
                <c:pt idx="7">
                  <c:v>1.389</c:v>
                </c:pt>
                <c:pt idx="8">
                  <c:v>1.228</c:v>
                </c:pt>
                <c:pt idx="9">
                  <c:v>1.2289999999999994</c:v>
                </c:pt>
                <c:pt idx="10">
                  <c:v>1.2509999999999992</c:v>
                </c:pt>
                <c:pt idx="11">
                  <c:v>1.181</c:v>
                </c:pt>
                <c:pt idx="12">
                  <c:v>1.2589999999999992</c:v>
                </c:pt>
                <c:pt idx="13">
                  <c:v>1.1299999999999992</c:v>
                </c:pt>
                <c:pt idx="14">
                  <c:v>1.1599999999999993</c:v>
                </c:pt>
                <c:pt idx="15">
                  <c:v>1.1879999999999993</c:v>
                </c:pt>
                <c:pt idx="16">
                  <c:v>1.3220000000000001</c:v>
                </c:pt>
                <c:pt idx="17">
                  <c:v>1.4549999999999994</c:v>
                </c:pt>
                <c:pt idx="18">
                  <c:v>1.5760000000000001</c:v>
                </c:pt>
                <c:pt idx="19">
                  <c:v>1.679</c:v>
                </c:pt>
                <c:pt idx="20">
                  <c:v>1.494</c:v>
                </c:pt>
                <c:pt idx="21" formatCode="General">
                  <c:v>1.5069999999999992</c:v>
                </c:pt>
                <c:pt idx="22" formatCode="General">
                  <c:v>1.4389999999999994</c:v>
                </c:pt>
                <c:pt idx="23">
                  <c:v>1.2603894216797449</c:v>
                </c:pt>
                <c:pt idx="24">
                  <c:v>1.2185411217669289</c:v>
                </c:pt>
                <c:pt idx="25">
                  <c:v>1.3272304562627144</c:v>
                </c:pt>
                <c:pt idx="26">
                  <c:v>1.1551874455100268</c:v>
                </c:pt>
                <c:pt idx="27">
                  <c:v>1.1711711711711719</c:v>
                </c:pt>
              </c:numCache>
            </c:numRef>
          </c:val>
        </c:ser>
        <c:marker val="1"/>
        <c:axId val="128604416"/>
        <c:axId val="128606208"/>
      </c:lineChart>
      <c:catAx>
        <c:axId val="128604416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606208"/>
        <c:crosses val="autoZero"/>
        <c:auto val="1"/>
        <c:lblAlgn val="ctr"/>
        <c:lblOffset val="100"/>
      </c:catAx>
      <c:valAx>
        <c:axId val="128606208"/>
        <c:scaling>
          <c:orientation val="minMax"/>
          <c:max val="1.8"/>
          <c:min val="1"/>
        </c:scaling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604416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400"/>
            </a:pPr>
            <a:r>
              <a:rPr lang="zh-CN" altLang="en-US" sz="1400"/>
              <a:t>普通硅酸盐水泥</a:t>
            </a:r>
            <a:r>
              <a:rPr lang="en-US" altLang="zh-CN" sz="1400"/>
              <a:t>P·O42.5</a:t>
            </a:r>
            <a:r>
              <a:rPr lang="zh-CN" altLang="en-US" sz="1400"/>
              <a:t>级  （散装）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'普通硅酸盐水泥P·O42.5级  （散装）指数2023.12'!$A$17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'普通硅酸盐水泥P·O42.5级  （散装）指数2023.12'!$B$16:$AC$16</c:f>
              <c:strCache>
                <c:ptCount val="28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</c:strCache>
            </c:strRef>
          </c:cat>
          <c:val>
            <c:numRef>
              <c:f>'普通硅酸盐水泥P·O42.5级  （散装）指数2023.12'!$B$17:$AC$17</c:f>
              <c:numCache>
                <c:formatCode>#,##0.000_ </c:formatCode>
                <c:ptCount val="28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1.1459999999999992</c:v>
                </c:pt>
                <c:pt idx="4">
                  <c:v>1.7769999999999992</c:v>
                </c:pt>
                <c:pt idx="5">
                  <c:v>1.3340000000000001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1.7829999999999993</c:v>
                </c:pt>
                <c:pt idx="13">
                  <c:v>1.56</c:v>
                </c:pt>
                <c:pt idx="14">
                  <c:v>1.5229999999999992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1.4969999999999994</c:v>
                </c:pt>
                <c:pt idx="19">
                  <c:v>1.8029999999999993</c:v>
                </c:pt>
                <c:pt idx="20">
                  <c:v>1.9510000000000001</c:v>
                </c:pt>
                <c:pt idx="21" formatCode="General">
                  <c:v>1.6940000000000006</c:v>
                </c:pt>
                <c:pt idx="22" formatCode="General">
                  <c:v>1.286</c:v>
                </c:pt>
                <c:pt idx="23" formatCode="0.000_ ">
                  <c:v>1.34</c:v>
                </c:pt>
                <c:pt idx="24" formatCode="0.000_ ">
                  <c:v>1.414285714285715</c:v>
                </c:pt>
                <c:pt idx="25" formatCode="0.000_ ">
                  <c:v>1.4714285714285715</c:v>
                </c:pt>
                <c:pt idx="26">
                  <c:v>1.2342857142857149</c:v>
                </c:pt>
                <c:pt idx="27" formatCode="0.000_ ">
                  <c:v>1.1514285714285721</c:v>
                </c:pt>
              </c:numCache>
            </c:numRef>
          </c:val>
        </c:ser>
        <c:marker val="1"/>
        <c:axId val="128611456"/>
        <c:axId val="128612992"/>
      </c:lineChart>
      <c:catAx>
        <c:axId val="128611456"/>
        <c:scaling>
          <c:orientation val="minMax"/>
        </c:scaling>
        <c:axPos val="b"/>
        <c:tickLblPos val="nextTo"/>
        <c:crossAx val="128612992"/>
        <c:crosses val="autoZero"/>
        <c:auto val="1"/>
        <c:lblAlgn val="ctr"/>
        <c:lblOffset val="100"/>
      </c:catAx>
      <c:valAx>
        <c:axId val="128612992"/>
        <c:scaling>
          <c:orientation val="minMax"/>
          <c:max val="2"/>
          <c:min val="1"/>
        </c:scaling>
        <c:axPos val="l"/>
        <c:majorGridlines/>
        <c:numFmt formatCode="0%" sourceLinked="0"/>
        <c:tickLblPos val="nextTo"/>
        <c:crossAx val="128611456"/>
        <c:crosses val="autoZero"/>
        <c:crossBetween val="between"/>
        <c:majorUnit val="0.1"/>
        <c:minorUnit val="0.05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400"/>
            </a:pPr>
            <a:r>
              <a:rPr lang="zh-CN" altLang="en-US" sz="1400"/>
              <a:t>蒸压砂加气混凝土砌块</a:t>
            </a:r>
            <a:r>
              <a:rPr lang="en-US" altLang="zh-CN" sz="1400"/>
              <a:t>(A5.0 B07)</a:t>
            </a:r>
            <a:endParaRPr lang="zh-CN" altLang="en-US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'蒸压砂加气混凝土砌块(A5.0 B07) 指数 2023.7'!$A$17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'蒸压砂加气混凝土砌块(A5.0 B07) 指数 2023.7'!$B$16:$AC$16</c:f>
              <c:strCache>
                <c:ptCount val="28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</c:strCache>
            </c:strRef>
          </c:cat>
          <c:val>
            <c:numRef>
              <c:f>'蒸压砂加气混凝土砌块(A5.0 B07) 指数 2023.7'!$B$17:$AC$17</c:f>
              <c:numCache>
                <c:formatCode>#,##0.000_ </c:formatCode>
                <c:ptCount val="28"/>
                <c:pt idx="0" formatCode="0.000_ ">
                  <c:v>1</c:v>
                </c:pt>
                <c:pt idx="1">
                  <c:v>1.0229999999999992</c:v>
                </c:pt>
                <c:pt idx="2">
                  <c:v>1.056</c:v>
                </c:pt>
                <c:pt idx="3">
                  <c:v>1.0760000000000001</c:v>
                </c:pt>
                <c:pt idx="4">
                  <c:v>1.153</c:v>
                </c:pt>
                <c:pt idx="5">
                  <c:v>1.2029999999999994</c:v>
                </c:pt>
                <c:pt idx="6">
                  <c:v>1.2989999999999993</c:v>
                </c:pt>
                <c:pt idx="7">
                  <c:v>1.3220000000000001</c:v>
                </c:pt>
                <c:pt idx="8">
                  <c:v>1.3919999999999992</c:v>
                </c:pt>
                <c:pt idx="9">
                  <c:v>1.395</c:v>
                </c:pt>
                <c:pt idx="10">
                  <c:v>1.4189999999999994</c:v>
                </c:pt>
                <c:pt idx="11">
                  <c:v>1.4089999999999994</c:v>
                </c:pt>
                <c:pt idx="12">
                  <c:v>1.4319999999999986</c:v>
                </c:pt>
                <c:pt idx="13">
                  <c:v>1.4189999999999994</c:v>
                </c:pt>
                <c:pt idx="14">
                  <c:v>1.4089999999999994</c:v>
                </c:pt>
                <c:pt idx="15">
                  <c:v>1.3919999999999992</c:v>
                </c:pt>
                <c:pt idx="16">
                  <c:v>1.4119999999999986</c:v>
                </c:pt>
                <c:pt idx="17">
                  <c:v>1.4189999999999994</c:v>
                </c:pt>
                <c:pt idx="18">
                  <c:v>1.4189999999999994</c:v>
                </c:pt>
                <c:pt idx="19">
                  <c:v>1.4389999999999994</c:v>
                </c:pt>
                <c:pt idx="20">
                  <c:v>1.508</c:v>
                </c:pt>
                <c:pt idx="21" formatCode="General">
                  <c:v>1.488</c:v>
                </c:pt>
                <c:pt idx="22" formatCode="General">
                  <c:v>1.458</c:v>
                </c:pt>
                <c:pt idx="23">
                  <c:v>1.4352159468438541</c:v>
                </c:pt>
                <c:pt idx="24" formatCode="0.000_ ">
                  <c:v>1.4318936877076394</c:v>
                </c:pt>
                <c:pt idx="25" formatCode="0.000_ ">
                  <c:v>1.4186046511627899</c:v>
                </c:pt>
                <c:pt idx="26" formatCode="0.000_ ">
                  <c:v>1.3554817275747508</c:v>
                </c:pt>
                <c:pt idx="27" formatCode="0.000_ ">
                  <c:v>1.3355481727574752</c:v>
                </c:pt>
              </c:numCache>
            </c:numRef>
          </c:val>
        </c:ser>
        <c:marker val="1"/>
        <c:axId val="128644992"/>
        <c:axId val="128646528"/>
      </c:lineChart>
      <c:catAx>
        <c:axId val="128644992"/>
        <c:scaling>
          <c:orientation val="minMax"/>
        </c:scaling>
        <c:axPos val="b"/>
        <c:tickLblPos val="nextTo"/>
        <c:crossAx val="128646528"/>
        <c:crosses val="autoZero"/>
        <c:auto val="1"/>
        <c:lblAlgn val="ctr"/>
        <c:lblOffset val="100"/>
      </c:catAx>
      <c:valAx>
        <c:axId val="128646528"/>
        <c:scaling>
          <c:orientation val="minMax"/>
          <c:max val="1.6"/>
          <c:min val="1"/>
        </c:scaling>
        <c:axPos val="l"/>
        <c:majorGridlines/>
        <c:numFmt formatCode="0%" sourceLinked="0"/>
        <c:tickLblPos val="nextTo"/>
        <c:crossAx val="128644992"/>
        <c:crosses val="autoZero"/>
        <c:crossBetween val="between"/>
        <c:majorUnit val="0.1"/>
        <c:minorUnit val="0.05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'预拌混凝土（泵送型）C30粒径5～25 坍落度12cm12.1'!$A$17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'预拌混凝土（泵送型）C30粒径5～25 坍落度12cm12.1'!$B$16:$AC$16</c:f>
              <c:strCache>
                <c:ptCount val="28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</c:strCache>
            </c:strRef>
          </c:cat>
          <c:val>
            <c:numRef>
              <c:f>'预拌混凝土（泵送型）C30粒径5～25 坍落度12cm12.1'!$B$17:$AC$17</c:f>
              <c:numCache>
                <c:formatCode>0.000_ </c:formatCode>
                <c:ptCount val="28"/>
                <c:pt idx="0">
                  <c:v>1</c:v>
                </c:pt>
                <c:pt idx="1">
                  <c:v>1.06</c:v>
                </c:pt>
                <c:pt idx="2">
                  <c:v>1.1940000000000006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1.4869999999999994</c:v>
                </c:pt>
                <c:pt idx="7">
                  <c:v>1.5469999999999993</c:v>
                </c:pt>
                <c:pt idx="8">
                  <c:v>1.7409999999999994</c:v>
                </c:pt>
                <c:pt idx="9">
                  <c:v>1.5980000000000001</c:v>
                </c:pt>
                <c:pt idx="10">
                  <c:v>1.7009999999999994</c:v>
                </c:pt>
                <c:pt idx="11">
                  <c:v>1.718</c:v>
                </c:pt>
                <c:pt idx="12">
                  <c:v>1.8660000000000001</c:v>
                </c:pt>
                <c:pt idx="13">
                  <c:v>1.7829999999999993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1.7289999999999994</c:v>
                </c:pt>
                <c:pt idx="18">
                  <c:v>1.7809999999999993</c:v>
                </c:pt>
                <c:pt idx="19">
                  <c:v>1.863</c:v>
                </c:pt>
                <c:pt idx="20">
                  <c:v>1.917</c:v>
                </c:pt>
                <c:pt idx="21" formatCode="General">
                  <c:v>1.8380000000000001</c:v>
                </c:pt>
                <c:pt idx="22" formatCode="General">
                  <c:v>1.6839999999999993</c:v>
                </c:pt>
                <c:pt idx="23">
                  <c:v>1.7549857549857557</c:v>
                </c:pt>
                <c:pt idx="24">
                  <c:v>1.6951566951566952</c:v>
                </c:pt>
                <c:pt idx="25">
                  <c:v>1.6609686609686609</c:v>
                </c:pt>
                <c:pt idx="26">
                  <c:v>1.5641025641025648</c:v>
                </c:pt>
                <c:pt idx="27">
                  <c:v>1.498575498575498</c:v>
                </c:pt>
              </c:numCache>
            </c:numRef>
          </c:val>
        </c:ser>
        <c:marker val="1"/>
        <c:axId val="128684032"/>
        <c:axId val="128685568"/>
      </c:lineChart>
      <c:catAx>
        <c:axId val="128684032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685568"/>
        <c:crosses val="autoZero"/>
        <c:auto val="1"/>
        <c:lblAlgn val="ctr"/>
        <c:lblOffset val="100"/>
        <c:tickMarkSkip val="30"/>
      </c:catAx>
      <c:valAx>
        <c:axId val="128685568"/>
        <c:scaling>
          <c:orientation val="minMax"/>
          <c:max val="2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8684032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5</Pages>
  <Words>65</Words>
  <Characters>377</Characters>
  <Application>Microsoft Office Word</Application>
  <DocSecurity>0</DocSecurity>
  <Lines>3</Lines>
  <Paragraphs>1</Paragraphs>
  <ScaleCrop>false</ScaleCrop>
  <Company>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28</cp:revision>
  <cp:lastPrinted>2020-08-04T01:06:00Z</cp:lastPrinted>
  <dcterms:created xsi:type="dcterms:W3CDTF">2021-11-03T06:16:00Z</dcterms:created>
  <dcterms:modified xsi:type="dcterms:W3CDTF">2023-12-20T01:42:00Z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